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footer1.xml" ContentType="application/vnd.openxmlformats-officedocument.wordprocessingml.footer+xml"/>
  <Override PartName="/word/activeX/activeX11.xml" ContentType="application/vnd.ms-office.activeX+xml"/>
  <Override PartName="/word/activeX/activeX20.xml" ContentType="application/vnd.ms-office.activeX+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9F7" w:rsidRDefault="008069F7" w:rsidP="008069F7"/>
    <w:p w:rsidR="008069F7" w:rsidRDefault="008069F7" w:rsidP="008069F7"/>
    <w:p w:rsidR="008069F7" w:rsidRPr="00CC66D3" w:rsidRDefault="008069F7" w:rsidP="008069F7">
      <w:pPr>
        <w:jc w:val="center"/>
        <w:rPr>
          <w:color w:val="00B050"/>
        </w:rPr>
      </w:pPr>
      <w:r w:rsidRPr="00B6341B">
        <w:rPr>
          <w:noProof/>
          <w:color w:val="E36C0A" w:themeColor="accent6" w:themeShade="BF"/>
          <w:highlight w:val="lightGray"/>
        </w:rPr>
        <w:drawing>
          <wp:inline distT="0" distB="0" distL="0" distR="0">
            <wp:extent cx="3477739" cy="3509818"/>
            <wp:effectExtent l="19050" t="0" r="8411" b="0"/>
            <wp:docPr id="7" name="Picture 2" descr="CoNA-CityMayorG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NA-CityMayorGahan"/>
                    <pic:cNvPicPr>
                      <a:picLocks noChangeAspect="1" noChangeArrowheads="1"/>
                    </pic:cNvPicPr>
                  </pic:nvPicPr>
                  <pic:blipFill rotWithShape="1">
                    <a:blip r:embed="rId8" cstate="print">
                      <a:duotone>
                        <a:prstClr val="black"/>
                        <a:schemeClr val="accent6">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554"/>
                    <a:stretch/>
                  </pic:blipFill>
                  <pic:spPr bwMode="auto">
                    <a:xfrm>
                      <a:off x="0" y="0"/>
                      <a:ext cx="3478550" cy="3510637"/>
                    </a:xfrm>
                    <a:prstGeom prst="rect">
                      <a:avLst/>
                    </a:prstGeom>
                    <a:solidFill>
                      <a:schemeClr val="accent6">
                        <a:lumMod val="60000"/>
                        <a:lumOff val="40000"/>
                      </a:schemeClr>
                    </a:solid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8069F7" w:rsidRDefault="008069F7" w:rsidP="008069F7">
      <w:pPr>
        <w:jc w:val="center"/>
        <w:rPr>
          <w:b/>
        </w:rPr>
      </w:pPr>
    </w:p>
    <w:p w:rsidR="008069F7" w:rsidRDefault="008069F7" w:rsidP="008069F7">
      <w:pPr>
        <w:jc w:val="center"/>
        <w:rPr>
          <w:b/>
        </w:rPr>
      </w:pPr>
    </w:p>
    <w:p w:rsidR="008069F7" w:rsidRPr="00D2379A" w:rsidRDefault="008069F7" w:rsidP="008069F7">
      <w:pPr>
        <w:jc w:val="center"/>
        <w:rPr>
          <w:b/>
        </w:rPr>
      </w:pPr>
    </w:p>
    <w:p w:rsidR="008069F7" w:rsidRPr="00B6341B" w:rsidRDefault="008069F7" w:rsidP="008069F7">
      <w:pPr>
        <w:jc w:val="center"/>
        <w:rPr>
          <w:rFonts w:ascii="Arial Rounded MT Bold" w:hAnsi="Arial Rounded MT Bold"/>
          <w:caps/>
          <w:color w:val="244061" w:themeColor="accent1" w:themeShade="80"/>
          <w:sz w:val="40"/>
        </w:rPr>
      </w:pPr>
      <w:r w:rsidRPr="00B6341B">
        <w:rPr>
          <w:rFonts w:ascii="Arial Rounded MT Bold" w:hAnsi="Arial Rounded MT Bold"/>
          <w:caps/>
          <w:color w:val="244061" w:themeColor="accent1" w:themeShade="80"/>
          <w:sz w:val="40"/>
        </w:rPr>
        <w:t xml:space="preserve">Community Development Block Grant </w:t>
      </w:r>
    </w:p>
    <w:p w:rsidR="008069F7" w:rsidRPr="00B6341B" w:rsidRDefault="008069F7" w:rsidP="008069F7">
      <w:pPr>
        <w:jc w:val="center"/>
        <w:rPr>
          <w:rFonts w:ascii="Arial Rounded MT Bold" w:hAnsi="Arial Rounded MT Bold"/>
          <w:caps/>
          <w:color w:val="244061" w:themeColor="accent1" w:themeShade="80"/>
          <w:sz w:val="40"/>
        </w:rPr>
      </w:pPr>
      <w:r w:rsidRPr="00B6341B">
        <w:rPr>
          <w:rFonts w:ascii="Arial Rounded MT Bold" w:hAnsi="Arial Rounded MT Bold"/>
          <w:caps/>
          <w:color w:val="244061" w:themeColor="accent1" w:themeShade="80"/>
          <w:sz w:val="40"/>
        </w:rPr>
        <w:t>Fiscal Year 201</w:t>
      </w:r>
      <w:r>
        <w:rPr>
          <w:rFonts w:ascii="Arial Rounded MT Bold" w:hAnsi="Arial Rounded MT Bold"/>
          <w:caps/>
          <w:color w:val="244061" w:themeColor="accent1" w:themeShade="80"/>
          <w:sz w:val="40"/>
        </w:rPr>
        <w:t>9</w:t>
      </w:r>
      <w:r w:rsidRPr="00B6341B">
        <w:rPr>
          <w:rFonts w:ascii="Arial Rounded MT Bold" w:hAnsi="Arial Rounded MT Bold"/>
          <w:caps/>
          <w:color w:val="244061" w:themeColor="accent1" w:themeShade="80"/>
          <w:sz w:val="40"/>
        </w:rPr>
        <w:t xml:space="preserve"> Consolidated Annual Performance &amp; Evaluation Report (CAPER)</w:t>
      </w:r>
    </w:p>
    <w:p w:rsidR="008069F7" w:rsidRDefault="008069F7">
      <w:pPr>
        <w:pStyle w:val="Heading2"/>
        <w:rPr>
          <w:rFonts w:ascii="Calibri" w:hAnsi="Calibri"/>
          <w:i w:val="0"/>
        </w:rPr>
      </w:pPr>
    </w:p>
    <w:p w:rsidR="00CF44B5" w:rsidRDefault="00CF44B5" w:rsidP="00CF44B5"/>
    <w:p w:rsidR="00CF44B5" w:rsidRPr="00CF44B5" w:rsidRDefault="00CF44B5" w:rsidP="00CF44B5"/>
    <w:p w:rsidR="008069F7" w:rsidRDefault="008069F7">
      <w:pPr>
        <w:pStyle w:val="Heading2"/>
        <w:rPr>
          <w:rFonts w:ascii="Calibri" w:hAnsi="Calibri"/>
          <w:i w:val="0"/>
        </w:rPr>
      </w:pPr>
    </w:p>
    <w:p w:rsidR="00A94410" w:rsidRDefault="00C12ED9">
      <w:pPr>
        <w:pStyle w:val="Heading2"/>
        <w:rPr>
          <w:rFonts w:ascii="Calibri" w:hAnsi="Calibri"/>
          <w:i w:val="0"/>
        </w:rPr>
      </w:pPr>
      <w:r>
        <w:rPr>
          <w:rFonts w:ascii="Calibri" w:hAnsi="Calibri"/>
          <w:i w:val="0"/>
        </w:rPr>
        <w:t>CR-05 - Goals and Outcomes</w:t>
      </w:r>
    </w:p>
    <w:p w:rsidR="00A94410" w:rsidRDefault="00C12ED9">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A94410" w:rsidRDefault="00A94410">
      <w:pPr>
        <w:keepNext/>
        <w:widowControl w:val="0"/>
        <w:spacing w:after="0" w:line="240" w:lineRule="auto"/>
        <w:rPr>
          <w:b/>
        </w:rPr>
      </w:pPr>
    </w:p>
    <w:p w:rsidR="00A94410" w:rsidRDefault="00C12ED9" w:rsidP="00481401">
      <w:pPr>
        <w:widowControl w:val="0"/>
        <w:spacing w:afterAutospacing="1" w:line="360" w:lineRule="auto"/>
        <w:contextualSpacing/>
      </w:pPr>
      <w:r>
        <w:t xml:space="preserve">The Department of Redevelopment implements the Community Development Block Grant (CDBG) on behalf of the City of New Albany.  The CDBG Program is administered by the U.S. Department of Housing and Urban Development (HUD), and has as its objectives the provision of services that benefit low-to moderate-income persons and families, and to prevent or eliminate slum and/or blight.  The City's 2015-2019 Strategic Plan prioritized infrastructure and park facility improvements, affordable housing creation and rehabilitation of the existing housing stock, concentrated code enforcement, along with public service programs that are meant to enrich and educate.  During the five years three sidewalk projects have been completed and a fourth is ongoing.  The Griffin Street </w:t>
      </w:r>
      <w:r w:rsidR="00B17BA6">
        <w:t>Neighborhood</w:t>
      </w:r>
      <w:r>
        <w:t xml:space="preserve"> Center/park facility continued to be  improved, housing units have received repairs, concentrated code enforcement has improved neighborhoods, and the City’s youth, elderly and disabled have received educational and enrichment services. </w:t>
      </w:r>
    </w:p>
    <w:p w:rsidR="00481401" w:rsidRDefault="00481401" w:rsidP="00481401">
      <w:pPr>
        <w:widowControl w:val="0"/>
        <w:spacing w:afterAutospacing="1" w:line="360" w:lineRule="auto"/>
        <w:contextualSpacing/>
        <w:rPr>
          <w:szCs w:val="24"/>
        </w:rPr>
      </w:pPr>
    </w:p>
    <w:p w:rsidR="00A94410" w:rsidRDefault="00C12ED9" w:rsidP="00481401">
      <w:pPr>
        <w:widowControl w:val="0"/>
        <w:spacing w:afterAutospacing="1" w:line="360" w:lineRule="auto"/>
        <w:contextualSpacing/>
      </w:pPr>
      <w:r>
        <w:t xml:space="preserve">The City' Fiscal Year 2019 (FY19) CDBG One-Year Action Plan was the fifth and final year of the 2015-2019 Consolidated Plan and committed funding toward low-and moderate-income residents of the City as it had in previous years.  During FY19 the City prioritized the stabilization of our urban neighborhoods through reinvestment in a neighborhood facility by exterior restoration of the Griffin Recreation Center.   A sidewalk improvement project was engineered and construction in ongoing.  The Concentrated Code Enforcement </w:t>
      </w:r>
      <w:r w:rsidR="00B17BA6">
        <w:t>Officer</w:t>
      </w:r>
      <w:r>
        <w:t xml:space="preserve"> continued work in low-income areas of the City.  Home modifications were provided to 14 owner-occupied low-and moderate-income residents through the Emergency Repair and Repair Affair Programs.  Twenty-</w:t>
      </w:r>
      <w:proofErr w:type="gramStart"/>
      <w:r>
        <w:t>five  elderly</w:t>
      </w:r>
      <w:proofErr w:type="gramEnd"/>
      <w:r>
        <w:t xml:space="preserve"> or disabled </w:t>
      </w:r>
      <w:r w:rsidR="000D0B78">
        <w:t xml:space="preserve">persons </w:t>
      </w:r>
      <w:r>
        <w:t xml:space="preserve">were assisted with transportation assistance meant to promote independent living.  Social service agencies provided enrichment, educational, and child care services to 607 youth.  </w:t>
      </w:r>
    </w:p>
    <w:p w:rsidR="00481401" w:rsidRDefault="00481401" w:rsidP="00481401">
      <w:pPr>
        <w:widowControl w:val="0"/>
        <w:spacing w:afterAutospacing="1" w:line="360" w:lineRule="auto"/>
        <w:contextualSpacing/>
        <w:rPr>
          <w:szCs w:val="24"/>
        </w:rPr>
      </w:pPr>
    </w:p>
    <w:p w:rsidR="00A94410" w:rsidRDefault="00C12ED9" w:rsidP="00481401">
      <w:pPr>
        <w:widowControl w:val="0"/>
        <w:spacing w:afterAutospacing="1" w:line="360" w:lineRule="auto"/>
        <w:contextualSpacing/>
      </w:pPr>
      <w:r>
        <w:t xml:space="preserve">A Fair Housing informational session for the Building Department staff covered the seven (7) protected classes of the Fair Housing Act and provided information on the steps that need to be followed when filling out a fair housing complaint.  A video "Reasonable </w:t>
      </w:r>
      <w:r w:rsidR="00B17BA6">
        <w:t>Accommodation</w:t>
      </w:r>
      <w:r>
        <w:t>, Fair Housing Act, and Section 504 Training" was reviewed by the staff and a Fair Housing quiz testing knowledge was conducted. Brochures with additional information</w:t>
      </w:r>
      <w:r w:rsidR="00B17BA6">
        <w:t> were</w:t>
      </w:r>
      <w:r>
        <w:t xml:space="preserve"> handed out and made available on the City’s website and posted in the City-County Building. The Building </w:t>
      </w:r>
      <w:r w:rsidR="000D0B78">
        <w:t xml:space="preserve">Department </w:t>
      </w:r>
      <w:r>
        <w:t xml:space="preserve">Office tracks Fair Housing calls in order to define whether they are fair housing or landlord tenant disputes.  </w:t>
      </w:r>
    </w:p>
    <w:p w:rsidR="00481401" w:rsidRDefault="00481401" w:rsidP="00481401">
      <w:pPr>
        <w:widowControl w:val="0"/>
        <w:spacing w:afterAutospacing="1" w:line="360" w:lineRule="auto"/>
        <w:contextualSpacing/>
        <w:rPr>
          <w:szCs w:val="24"/>
        </w:rPr>
      </w:pPr>
    </w:p>
    <w:p w:rsidR="00A94410" w:rsidRDefault="00C12ED9" w:rsidP="00481401">
      <w:pPr>
        <w:widowControl w:val="0"/>
        <w:spacing w:afterAutospacing="1" w:line="360" w:lineRule="auto"/>
        <w:contextualSpacing/>
        <w:rPr>
          <w:szCs w:val="24"/>
        </w:rPr>
      </w:pPr>
      <w:r>
        <w:lastRenderedPageBreak/>
        <w:t xml:space="preserve">The City prioritized the projects and activities that supported the capacity of local organizations and agencies that provided services addressing the basic needs of our most at-risk population.  However due to the Coronavirus restrictions accomplishments were not as originally projected.  Several programs had to be suspended during the second half of the program year.  The accomplishments and outcomes are detailed in this report.  </w:t>
      </w:r>
    </w:p>
    <w:p w:rsidR="00A94410" w:rsidRDefault="00A94410" w:rsidP="00481401">
      <w:pPr>
        <w:widowControl w:val="0"/>
        <w:spacing w:afterAutospacing="1" w:line="360" w:lineRule="auto"/>
        <w:contextualSpacing/>
        <w:rPr>
          <w:szCs w:val="24"/>
        </w:rPr>
      </w:pPr>
    </w:p>
    <w:p w:rsidR="00A94410" w:rsidRDefault="00C12ED9" w:rsidP="00481401">
      <w:pPr>
        <w:keepNext/>
        <w:widowControl w:val="0"/>
        <w:spacing w:after="0" w:line="360" w:lineRule="auto"/>
        <w:contextualSpacing/>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8E5BB0" w:rsidRDefault="00C12ED9" w:rsidP="00481401">
      <w:pPr>
        <w:keepNext/>
        <w:widowControl w:val="0"/>
        <w:spacing w:after="0" w:line="360" w:lineRule="auto"/>
        <w:contextualSpacing/>
      </w:pPr>
      <w:r>
        <w:t>Categories, priority levels, funding sources and amounts, outcomes/objectives, goal outcome indicators, units of measure, targets, actual outcomes/outputs, and percentage completed for each of the grantee’s program year goals</w:t>
      </w:r>
    </w:p>
    <w:p w:rsidR="00A94410" w:rsidRDefault="00A94410" w:rsidP="00481401">
      <w:pPr>
        <w:keepNext/>
        <w:widowControl w:val="0"/>
        <w:spacing w:after="0" w:line="360" w:lineRule="auto"/>
        <w:contextualSpacing/>
        <w:rPr>
          <w:szCs w:val="24"/>
        </w:rPr>
      </w:pPr>
    </w:p>
    <w:p w:rsidR="00A94410" w:rsidRDefault="00C12ED9" w:rsidP="00481401">
      <w:pPr>
        <w:pStyle w:val="Caption"/>
        <w:spacing w:line="360" w:lineRule="auto"/>
        <w:contextualSpacing/>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1</w:t>
      </w:r>
      <w:r w:rsidR="00704603">
        <w:rPr>
          <w:rFonts w:asciiTheme="minorHAnsi" w:hAnsiTheme="minorHAnsi"/>
        </w:rPr>
        <w:fldChar w:fldCharType="end"/>
      </w:r>
      <w:r>
        <w:rPr>
          <w:rFonts w:asciiTheme="minorHAnsi" w:hAnsiTheme="minorHAnsi"/>
        </w:rPr>
        <w:t xml:space="preserve"> - Accomplishments – Program Year &amp; Strategic Plan to Date</w:t>
      </w:r>
    </w:p>
    <w:tbl>
      <w:tblPr>
        <w:tblW w:w="5000" w:type="pct"/>
        <w:tblCellSpacing w:w="0" w:type="dxa"/>
        <w:tblCellMar>
          <w:top w:w="60" w:type="dxa"/>
          <w:left w:w="60" w:type="dxa"/>
          <w:bottom w:w="60" w:type="dxa"/>
          <w:right w:w="60" w:type="dxa"/>
        </w:tblCellMar>
        <w:tblLook w:val="04A0"/>
      </w:tblPr>
      <w:tblGrid>
        <w:gridCol w:w="10360"/>
      </w:tblGrid>
      <w:tr w:rsidR="008E5BB0" w:rsidRPr="00A33BA5" w:rsidTr="00C12ED9">
        <w:trPr>
          <w:tblCellSpacing w:w="0" w:type="dxa"/>
        </w:trPr>
        <w:tc>
          <w:tcPr>
            <w:tcW w:w="0" w:type="auto"/>
            <w:vAlign w:val="center"/>
            <w:hideMark/>
          </w:tcPr>
          <w:p w:rsidR="008E5BB0" w:rsidRPr="00A33BA5" w:rsidRDefault="008E5BB0" w:rsidP="00C12ED9">
            <w:pPr>
              <w:spacing w:after="240" w:line="240" w:lineRule="auto"/>
              <w:jc w:val="center"/>
              <w:rPr>
                <w:rFonts w:ascii="Times New Roman" w:eastAsia="Times New Roman" w:hAnsi="Times New Roman"/>
                <w:sz w:val="24"/>
                <w:szCs w:val="24"/>
              </w:rPr>
            </w:pPr>
          </w:p>
        </w:tc>
      </w:tr>
      <w:tr w:rsidR="008E5BB0" w:rsidRPr="00A33BA5" w:rsidTr="00C12ED9">
        <w:trPr>
          <w:tblCellSpacing w:w="0" w:type="dxa"/>
        </w:trPr>
        <w:tc>
          <w:tcPr>
            <w:tcW w:w="0" w:type="auto"/>
            <w:vAlign w:val="center"/>
            <w:hideMark/>
          </w:tcPr>
          <w:p w:rsidR="008E5BB0" w:rsidRPr="00A33BA5" w:rsidRDefault="008E5BB0" w:rsidP="00C12ED9">
            <w:pPr>
              <w:spacing w:after="240" w:line="240" w:lineRule="auto"/>
              <w:jc w:val="center"/>
              <w:rPr>
                <w:rFonts w:ascii="Times New Roman" w:eastAsia="Times New Roman" w:hAnsi="Times New Roman"/>
                <w:sz w:val="24"/>
                <w:szCs w:val="24"/>
              </w:rPr>
            </w:pPr>
          </w:p>
        </w:tc>
      </w:tr>
      <w:tr w:rsidR="00C12ED9" w:rsidRPr="00A33BA5" w:rsidTr="00C12ED9">
        <w:trPr>
          <w:tblCellSpacing w:w="0" w:type="dxa"/>
        </w:trPr>
        <w:tc>
          <w:tcPr>
            <w:tcW w:w="0" w:type="auto"/>
            <w:vAlign w:val="center"/>
            <w:hideMark/>
          </w:tcPr>
          <w:tbl>
            <w:tblPr>
              <w:tblW w:w="4578"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62"/>
              <w:gridCol w:w="1258"/>
              <w:gridCol w:w="918"/>
              <w:gridCol w:w="6702"/>
            </w:tblGrid>
            <w:tr w:rsidR="00C12ED9" w:rsidRPr="00A33BA5" w:rsidTr="00C12ED9">
              <w:trPr>
                <w:tblCellSpacing w:w="0" w:type="dxa"/>
                <w:jc w:val="center"/>
              </w:trPr>
              <w:tc>
                <w:tcPr>
                  <w:tcW w:w="5000" w:type="pct"/>
                  <w:gridSpan w:val="4"/>
                  <w:tcBorders>
                    <w:top w:val="nil"/>
                    <w:left w:val="nil"/>
                    <w:bottom w:val="nil"/>
                    <w:right w:val="nil"/>
                  </w:tcBorders>
                  <w:vAlign w:val="center"/>
                  <w:hideMark/>
                </w:tcPr>
                <w:p w:rsidR="00C12ED9" w:rsidRPr="00A33BA5" w:rsidRDefault="00C12ED9" w:rsidP="00C12ED9">
                  <w:pPr>
                    <w:spacing w:after="0" w:line="240" w:lineRule="auto"/>
                    <w:jc w:val="center"/>
                    <w:rPr>
                      <w:rFonts w:ascii="Times New Roman" w:eastAsia="Times New Roman" w:hAnsi="Times New Roman"/>
                      <w:sz w:val="24"/>
                      <w:szCs w:val="24"/>
                    </w:rPr>
                  </w:pPr>
                  <w:r w:rsidRPr="00A33BA5">
                    <w:rPr>
                      <w:rFonts w:ascii="Times New Roman" w:eastAsia="Times New Roman" w:hAnsi="Times New Roman"/>
                      <w:sz w:val="24"/>
                      <w:szCs w:val="24"/>
                    </w:rPr>
                    <w:t>Table 1 - Accomplishments - Program Year</w:t>
                  </w: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Goal</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Category</w:t>
                  </w:r>
                </w:p>
              </w:tc>
              <w:tc>
                <w:tcPr>
                  <w:tcW w:w="428"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Funding</w:t>
                  </w:r>
                </w:p>
              </w:tc>
              <w:tc>
                <w:tcPr>
                  <w:tcW w:w="333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Outcome</w:t>
                  </w:r>
                </w:p>
              </w:tc>
            </w:tr>
            <w:tr w:rsidR="00C12ED9" w:rsidRPr="00A33BA5" w:rsidTr="00C12ED9">
              <w:trPr>
                <w:trHeight w:val="1669"/>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Code Enforcement</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74"/>
                    <w:gridCol w:w="1191"/>
                    <w:gridCol w:w="1191"/>
                    <w:gridCol w:w="1041"/>
                    <w:gridCol w:w="939"/>
                  </w:tblGrid>
                  <w:tr w:rsidR="00C12ED9" w:rsidRPr="00A33BA5" w:rsidTr="00C12ED9">
                    <w:trPr>
                      <w:tblCellSpacing w:w="0" w:type="dxa"/>
                    </w:trPr>
                    <w:tc>
                      <w:tcPr>
                        <w:tcW w:w="1659"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981"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1659"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Housing Code Enforcement/Foreclosed Property Care</w:t>
                        </w:r>
                      </w:p>
                    </w:tc>
                    <w:tc>
                      <w:tcPr>
                        <w:tcW w:w="981"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5" type="#_x0000_t75" style="width:60.75pt;height:18pt" o:ole="">
                              <v:imagedata r:id="rId9" o:title=""/>
                            </v:shape>
                            <w:control r:id="rId10" w:name="DefaultOcxName" w:shapeid="_x0000_i207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74" type="#_x0000_t75" style="width:60.75pt;height:18pt" o:ole="">
                              <v:imagedata r:id="rId11" o:title=""/>
                            </v:shape>
                            <w:control r:id="rId12" w:name="DefaultOcxName1" w:shapeid="_x0000_i207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73" type="#_x0000_t75" style="width:38.25pt;height:18pt" o:ole="">
                              <v:imagedata r:id="rId13" o:title=""/>
                            </v:shape>
                            <w:control r:id="rId14" w:name="DefaultOcxName2" w:shapeid="_x0000_i2073"/>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Fair Housing and Coordination</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10"/>
                    <w:gridCol w:w="1365"/>
                    <w:gridCol w:w="1365"/>
                    <w:gridCol w:w="1322"/>
                    <w:gridCol w:w="1374"/>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72" type="#_x0000_t75" style="width:60.75pt;height:18pt" o:ole="">
                              <v:imagedata r:id="rId15" o:title=""/>
                            </v:shape>
                            <w:control r:id="rId16" w:name="DefaultOcxName3" w:shapeid="_x0000_i207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71" type="#_x0000_t75" style="width:60.75pt;height:18pt" o:ole="">
                              <v:imagedata r:id="rId17" o:title=""/>
                            </v:shape>
                            <w:control r:id="rId18" w:name="DefaultOcxName4" w:shapeid="_x0000_i2071"/>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70" type="#_x0000_t75" style="width:38.25pt;height:18pt" o:ole="">
                              <v:imagedata r:id="rId19" o:title=""/>
                            </v:shape>
                            <w:control r:id="rId20" w:name="DefaultOcxName5" w:shapeid="_x0000_i2070"/>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Home Modifications for L/M Homeowners</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Affordable Housing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569"/>
                    <w:gridCol w:w="1359"/>
                    <w:gridCol w:w="1359"/>
                    <w:gridCol w:w="1184"/>
                    <w:gridCol w:w="1065"/>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other than Low/Moderat</w:t>
                        </w:r>
                        <w:r w:rsidRPr="00A33BA5">
                          <w:rPr>
                            <w:rFonts w:ascii="Times New Roman" w:eastAsia="Times New Roman" w:hAnsi="Times New Roman"/>
                            <w:sz w:val="24"/>
                            <w:szCs w:val="24"/>
                          </w:rPr>
                          <w:lastRenderedPageBreak/>
                          <w: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object w:dxaOrig="1440" w:dyaOrig="1440">
                            <v:shape id="_x0000_i2069" type="#_x0000_t75" style="width:60.75pt;height:18pt" o:ole="">
                              <v:imagedata r:id="rId21" o:title=""/>
                            </v:shape>
                            <w:control r:id="rId22" w:name="DefaultOcxName6" w:shapeid="_x0000_i206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8" type="#_x0000_t75" style="width:60.75pt;height:18pt" o:ole="">
                              <v:imagedata r:id="rId23" o:title=""/>
                            </v:shape>
                            <w:control r:id="rId24" w:name="DefaultOcxName7" w:shapeid="_x0000_i206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7" type="#_x0000_t75" style="width:38.25pt;height:18pt" o:ole="">
                              <v:imagedata r:id="rId25" o:title=""/>
                            </v:shape>
                            <w:control r:id="rId26" w:name="DefaultOcxName8" w:shapeid="_x0000_i2067"/>
                          </w:object>
                        </w:r>
                        <w:r w:rsidR="00C12ED9" w:rsidRPr="00A33BA5">
                          <w:rPr>
                            <w:rFonts w:ascii="Times New Roman" w:eastAsia="Times New Roman" w:hAnsi="Times New Roman"/>
                            <w:sz w:val="24"/>
                            <w:szCs w:val="24"/>
                          </w:rPr>
                          <w: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Homeowner Housing Rehabilitated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6" type="#_x0000_t75" style="width:60.75pt;height:18pt" o:ole="">
                              <v:imagedata r:id="rId27" o:title=""/>
                            </v:shape>
                            <w:control r:id="rId28" w:name="DefaultOcxName9" w:shapeid="_x0000_i2066"/>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5" type="#_x0000_t75" style="width:60.75pt;height:18pt" o:ole="">
                              <v:imagedata r:id="rId29" o:title=""/>
                            </v:shape>
                            <w:control r:id="rId30" w:name="DefaultOcxName10" w:shapeid="_x0000_i206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4" type="#_x0000_t75" style="width:38.25pt;height:18pt" o:ole="">
                              <v:imagedata r:id="rId31" o:title=""/>
                            </v:shape>
                            <w:control r:id="rId32" w:name="DefaultOcxName11" w:shapeid="_x0000_i2064"/>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Infrastructure Improvements</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72"/>
                    <w:gridCol w:w="1365"/>
                    <w:gridCol w:w="1365"/>
                    <w:gridCol w:w="1053"/>
                    <w:gridCol w:w="1081"/>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Facility or Infrastructure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3" type="#_x0000_t75" style="width:60.75pt;height:18pt" o:ole="">
                              <v:imagedata r:id="rId33" o:title=""/>
                            </v:shape>
                            <w:control r:id="rId34" w:name="DefaultOcxName12" w:shapeid="_x0000_i206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2" type="#_x0000_t75" style="width:60.75pt;height:18pt" o:ole="">
                              <v:imagedata r:id="rId35" o:title=""/>
                            </v:shape>
                            <w:control r:id="rId36" w:name="DefaultOcxName13" w:shapeid="_x0000_i206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1" type="#_x0000_t75" style="width:38.25pt;height:18pt" o:ole="">
                              <v:imagedata r:id="rId37" o:title=""/>
                            </v:shape>
                            <w:control r:id="rId38" w:name="DefaultOcxName14" w:shapeid="_x0000_i2061"/>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Park Facility Improvements</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72"/>
                    <w:gridCol w:w="1365"/>
                    <w:gridCol w:w="1365"/>
                    <w:gridCol w:w="1053"/>
                    <w:gridCol w:w="1081"/>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Facility or Infrastructure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60" type="#_x0000_t75" style="width:60.75pt;height:18pt" o:ole="">
                              <v:imagedata r:id="rId39" o:title=""/>
                            </v:shape>
                            <w:control r:id="rId40" w:name="DefaultOcxName15" w:shapeid="_x0000_i206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9" type="#_x0000_t75" style="width:60.75pt;height:18pt" o:ole="">
                              <v:imagedata r:id="rId41" o:title=""/>
                            </v:shape>
                            <w:control r:id="rId42" w:name="DefaultOcxName16" w:shapeid="_x0000_i205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8" type="#_x0000_t75" style="width:38.25pt;height:18pt" o:ole="">
                              <v:imagedata r:id="rId43" o:title=""/>
                            </v:shape>
                            <w:control r:id="rId44" w:name="DefaultOcxName17" w:shapeid="_x0000_i2058"/>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Transportation</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Non-Homeless Special Needs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68"/>
                    <w:gridCol w:w="1365"/>
                    <w:gridCol w:w="1365"/>
                    <w:gridCol w:w="1055"/>
                    <w:gridCol w:w="1083"/>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7" type="#_x0000_t75" style="width:60.75pt;height:18pt" o:ole="">
                              <v:imagedata r:id="rId45" o:title=""/>
                            </v:shape>
                            <w:control r:id="rId46" w:name="DefaultOcxName18" w:shapeid="_x0000_i205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6" type="#_x0000_t75" style="width:60.75pt;height:18pt" o:ole="">
                              <v:imagedata r:id="rId45" o:title=""/>
                            </v:shape>
                            <w:control r:id="rId47" w:name="DefaultOcxName19" w:shapeid="_x0000_i2056"/>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5" type="#_x0000_t75" style="width:38.25pt;height:18pt" o:ole="">
                              <v:imagedata r:id="rId48" o:title=""/>
                            </v:shape>
                            <w:control r:id="rId49" w:name="DefaultOcxName20" w:shapeid="_x0000_i2055"/>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666"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Youth Services</w:t>
                  </w:r>
                </w:p>
              </w:tc>
              <w:tc>
                <w:tcPr>
                  <w:tcW w:w="573" w:type="pct"/>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Non-Housing Communit</w:t>
                  </w:r>
                  <w:r w:rsidRPr="00A33BA5">
                    <w:rPr>
                      <w:rFonts w:ascii="Times New Roman" w:eastAsia="Times New Roman" w:hAnsi="Times New Roman"/>
                      <w:sz w:val="24"/>
                      <w:szCs w:val="24"/>
                    </w:rPr>
                    <w:lastRenderedPageBreak/>
                    <w:t xml:space="preserve">y Development </w:t>
                  </w:r>
                </w:p>
              </w:tc>
              <w:tc>
                <w:tcPr>
                  <w:tcW w:w="428"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0" w:line="240" w:lineRule="auto"/>
                    <w:rPr>
                      <w:rFonts w:ascii="Times New Roman" w:eastAsia="Times New Roman" w:hAnsi="Times New Roman"/>
                      <w:sz w:val="24"/>
                      <w:szCs w:val="24"/>
                    </w:rPr>
                  </w:pPr>
                </w:p>
              </w:tc>
              <w:tc>
                <w:tcPr>
                  <w:tcW w:w="3333"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68"/>
                    <w:gridCol w:w="1365"/>
                    <w:gridCol w:w="1365"/>
                    <w:gridCol w:w="1055"/>
                    <w:gridCol w:w="1083"/>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Public service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4" type="#_x0000_t75" style="width:60.75pt;height:18pt" o:ole="">
                              <v:imagedata r:id="rId50" o:title=""/>
                            </v:shape>
                            <w:control r:id="rId51" w:name="DefaultOcxName21" w:shapeid="_x0000_i205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3" type="#_x0000_t75" style="width:60.75pt;height:18pt" o:ole="">
                              <v:imagedata r:id="rId52" o:title=""/>
                            </v:shape>
                            <w:control r:id="rId53" w:name="DefaultOcxName22" w:shapeid="_x0000_i205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2" type="#_x0000_t75" style="width:38.25pt;height:18pt" o:ole="">
                              <v:imagedata r:id="rId54" o:title=""/>
                            </v:shape>
                            <w:control r:id="rId55" w:name="DefaultOcxName23" w:shapeid="_x0000_i2052"/>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240" w:line="240" w:lineRule="auto"/>
              <w:jc w:val="center"/>
              <w:rPr>
                <w:rFonts w:ascii="Times New Roman" w:eastAsia="Times New Roman" w:hAnsi="Times New Roman"/>
                <w:sz w:val="24"/>
                <w:szCs w:val="24"/>
              </w:rPr>
            </w:pPr>
            <w:r w:rsidRPr="00A33BA5">
              <w:rPr>
                <w:rFonts w:ascii="Times New Roman" w:eastAsia="Times New Roman" w:hAnsi="Times New Roman"/>
                <w:sz w:val="24"/>
                <w:szCs w:val="24"/>
              </w:rPr>
              <w:lastRenderedPageBreak/>
              <w:br/>
            </w:r>
            <w:r w:rsidRPr="00A33BA5">
              <w:rPr>
                <w:rFonts w:ascii="Times New Roman" w:eastAsia="Times New Roman" w:hAnsi="Times New Roman"/>
                <w:sz w:val="24"/>
                <w:szCs w:val="24"/>
              </w:rPr>
              <w:br/>
            </w:r>
          </w:p>
        </w:tc>
      </w:tr>
      <w:tr w:rsidR="00C12ED9" w:rsidRPr="00A33BA5" w:rsidTr="00C12ED9">
        <w:trPr>
          <w:tblCellSpacing w:w="0" w:type="dxa"/>
        </w:trPr>
        <w:tc>
          <w:tcPr>
            <w:tcW w:w="0" w:type="auto"/>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775"/>
              <w:gridCol w:w="1035"/>
              <w:gridCol w:w="1894"/>
              <w:gridCol w:w="5536"/>
            </w:tblGrid>
            <w:tr w:rsidR="00C12ED9" w:rsidRPr="00A33BA5" w:rsidTr="00C12ED9">
              <w:trPr>
                <w:tblCellSpacing w:w="0" w:type="dxa"/>
                <w:jc w:val="center"/>
              </w:trPr>
              <w:tc>
                <w:tcPr>
                  <w:tcW w:w="0" w:type="auto"/>
                  <w:gridSpan w:val="4"/>
                  <w:tcBorders>
                    <w:top w:val="nil"/>
                    <w:left w:val="nil"/>
                    <w:bottom w:val="nil"/>
                    <w:right w:val="nil"/>
                  </w:tcBorders>
                  <w:vAlign w:val="center"/>
                  <w:hideMark/>
                </w:tcPr>
                <w:p w:rsidR="00C12ED9" w:rsidRPr="00A33BA5" w:rsidRDefault="00C12ED9" w:rsidP="00C12ED9">
                  <w:pPr>
                    <w:spacing w:after="0" w:line="240" w:lineRule="auto"/>
                    <w:jc w:val="center"/>
                    <w:rPr>
                      <w:rFonts w:ascii="Times New Roman" w:eastAsia="Times New Roman" w:hAnsi="Times New Roman"/>
                      <w:sz w:val="24"/>
                      <w:szCs w:val="24"/>
                    </w:rPr>
                  </w:pPr>
                  <w:r w:rsidRPr="00A33BA5">
                    <w:rPr>
                      <w:rFonts w:ascii="Times New Roman" w:eastAsia="Times New Roman" w:hAnsi="Times New Roman"/>
                      <w:sz w:val="24"/>
                      <w:szCs w:val="24"/>
                    </w:rPr>
                    <w:lastRenderedPageBreak/>
                    <w:t>Table 2 - Accomplishments - Strategic Plan to Date</w:t>
                  </w: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Goal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Funding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Outcome</w:t>
                  </w: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Affordable Housing Creation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Affordable Housing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$200,000.00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32"/>
                    <w:gridCol w:w="1157"/>
                    <w:gridCol w:w="1157"/>
                    <w:gridCol w:w="1012"/>
                    <w:gridCol w:w="91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Homeowner Housing Added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1" type="#_x0000_t75" style="width:60.75pt;height:18pt" o:ole="">
                              <v:imagedata r:id="rId56" o:title=""/>
                            </v:shape>
                            <w:control r:id="rId57" w:name="DefaultOcxName24" w:shapeid="_x0000_i2051"/>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50" type="#_x0000_t75" style="width:60.75pt;height:18pt" o:ole="">
                              <v:imagedata r:id="rId21" o:title=""/>
                            </v:shape>
                            <w:control r:id="rId58" w:name="DefaultOcxName25" w:shapeid="_x0000_i205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9" type="#_x0000_t75" style="width:38.25pt;height:18pt" o:ole="">
                              <v:imagedata r:id="rId59" o:title=""/>
                            </v:shape>
                            <w:control r:id="rId60" w:name="DefaultOcxName26" w:shapeid="_x0000_i2049"/>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Clearance of Contaminated and Deteriorated Sites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56"/>
                    <w:gridCol w:w="972"/>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$5,000.00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002"/>
                    <w:gridCol w:w="1229"/>
                    <w:gridCol w:w="1229"/>
                    <w:gridCol w:w="943"/>
                    <w:gridCol w:w="967"/>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8" type="#_x0000_t75" style="width:60.75pt;height:18pt" o:ole="">
                              <v:imagedata r:id="rId61" o:title=""/>
                            </v:shape>
                            <w:control r:id="rId62" w:name="DefaultOcxName27" w:shapeid="_x0000_i204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7" type="#_x0000_t75" style="width:60.75pt;height:18pt" o:ole="">
                              <v:imagedata r:id="rId21" o:title=""/>
                            </v:shape>
                            <w:control r:id="rId63" w:name="DefaultOcxName28" w:shapeid="_x0000_i204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6" type="#_x0000_t75" style="width:38.25pt;height:18pt" o:ole="">
                              <v:imagedata r:id="rId59" o:title=""/>
                            </v:shape>
                            <w:control r:id="rId64" w:name="DefaultOcxName29" w:shapeid="_x0000_i2046"/>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Code Enforcement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$275,000.00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764"/>
                    <w:gridCol w:w="982"/>
                    <w:gridCol w:w="982"/>
                    <w:gridCol w:w="862"/>
                    <w:gridCol w:w="780"/>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Housing Code Enforcement/Foreclosed Property Care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5" type="#_x0000_t75" style="width:60.75pt;height:18pt" o:ole="">
                              <v:imagedata r:id="rId65" o:title=""/>
                            </v:shape>
                            <w:control r:id="rId66" w:name="DefaultOcxName30" w:shapeid="_x0000_i204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4" type="#_x0000_t75" style="width:60.75pt;height:18pt" o:ole="">
                              <v:imagedata r:id="rId67" o:title=""/>
                            </v:shape>
                            <w:control r:id="rId68" w:name="DefaultOcxName31" w:shapeid="_x0000_i204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3" type="#_x0000_t75" style="width:38.25pt;height:18pt" o:ole="">
                              <v:imagedata r:id="rId69" o:title=""/>
                            </v:shape>
                            <w:control r:id="rId70" w:name="DefaultOcxName32" w:shapeid="_x0000_i2043"/>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Demolition/Stabilization of Buildings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15"/>
                    <w:gridCol w:w="1013"/>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$40,000.00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34"/>
                    <w:gridCol w:w="1181"/>
                    <w:gridCol w:w="1181"/>
                    <w:gridCol w:w="943"/>
                    <w:gridCol w:w="931"/>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Buildings Demolished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2" type="#_x0000_t75" style="width:60.75pt;height:18pt" o:ole="">
                              <v:imagedata r:id="rId71" o:title=""/>
                            </v:shape>
                            <w:control r:id="rId72" w:name="DefaultOcxName33" w:shapeid="_x0000_i204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1" type="#_x0000_t75" style="width:60.75pt;height:18pt" o:ole="">
                              <v:imagedata r:id="rId21" o:title=""/>
                            </v:shape>
                            <w:control r:id="rId73" w:name="DefaultOcxName34" w:shapeid="_x0000_i2041"/>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Buildings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40" type="#_x0000_t75" style="width:38.25pt;height:18pt" o:ole="">
                              <v:imagedata r:id="rId59" o:title=""/>
                            </v:shape>
                            <w:control r:id="rId74" w:name="DefaultOcxName35" w:shapeid="_x0000_i2040"/>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Fair Housing and Coordination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$320,000.00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002"/>
                    <w:gridCol w:w="1229"/>
                    <w:gridCol w:w="1229"/>
                    <w:gridCol w:w="943"/>
                    <w:gridCol w:w="967"/>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9" type="#_x0000_t75" style="width:60.75pt;height:18pt" o:ole="">
                              <v:imagedata r:id="rId61" o:title=""/>
                            </v:shape>
                            <w:control r:id="rId75" w:name="DefaultOcxName36" w:shapeid="_x0000_i203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8" type="#_x0000_t75" style="width:60.75pt;height:18pt" o:ole="">
                              <v:imagedata r:id="rId61" o:title=""/>
                            </v:shape>
                            <w:control r:id="rId76" w:name="DefaultOcxName37" w:shapeid="_x0000_i203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Other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7" type="#_x0000_t75" style="width:38.25pt;height:18pt" o:ole="">
                              <v:imagedata r:id="rId48" o:title=""/>
                            </v:shape>
                            <w:control r:id="rId77" w:name="DefaultOcxName38" w:shapeid="_x0000_i2037"/>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Home Modifications for L/M Homeowners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Affordable Housing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$275,000.00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265"/>
                    <w:gridCol w:w="1100"/>
                    <w:gridCol w:w="1100"/>
                    <w:gridCol w:w="1036"/>
                    <w:gridCol w:w="86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6" type="#_x0000_t75" style="width:60.75pt;height:18pt" o:ole="">
                              <v:imagedata r:id="rId78" o:title=""/>
                            </v:shape>
                            <w:control r:id="rId79" w:name="DefaultOcxName39" w:shapeid="_x0000_i2036"/>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5" type="#_x0000_t75" style="width:60.75pt;height:18pt" o:ole="">
                              <v:imagedata r:id="rId80" o:title=""/>
                            </v:shape>
                            <w:control r:id="rId81" w:name="DefaultOcxName40" w:shapeid="_x0000_i203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4" type="#_x0000_t75" style="width:38.25pt;height:18pt" o:ole="">
                              <v:imagedata r:id="rId25" o:title=""/>
                            </v:shape>
                            <w:control r:id="rId82" w:name="DefaultOcxName41" w:shapeid="_x0000_i2034"/>
                          </w:object>
                        </w:r>
                        <w:r w:rsidR="00C12ED9" w:rsidRPr="00A33BA5">
                          <w:rPr>
                            <w:rFonts w:ascii="Times New Roman" w:eastAsia="Times New Roman" w:hAnsi="Times New Roman"/>
                            <w:sz w:val="24"/>
                            <w:szCs w:val="24"/>
                          </w:rPr>
                          <w: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for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3" type="#_x0000_t75" style="width:60.75pt;height:18pt" o:ole="">
                              <v:imagedata r:id="rId83" o:title=""/>
                            </v:shape>
                            <w:control r:id="rId84" w:name="DefaultOcxName42" w:shapeid="_x0000_i203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2" type="#_x0000_t75" style="width:60.75pt;height:18pt" o:ole="">
                              <v:imagedata r:id="rId21" o:title=""/>
                            </v:shape>
                            <w:control r:id="rId85" w:name="DefaultOcxName43" w:shapeid="_x0000_i203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1" type="#_x0000_t75" style="width:38.25pt;height:18pt" o:ole="">
                              <v:imagedata r:id="rId59" o:title=""/>
                            </v:shape>
                            <w:control r:id="rId86" w:name="DefaultOcxName44" w:shapeid="_x0000_i2031"/>
                          </w:object>
                        </w:r>
                        <w:r w:rsidR="00C12ED9" w:rsidRPr="00A33BA5">
                          <w:rPr>
                            <w:rFonts w:ascii="Times New Roman" w:eastAsia="Times New Roman" w:hAnsi="Times New Roman"/>
                            <w:sz w:val="24"/>
                            <w:szCs w:val="24"/>
                          </w:rPr>
                          <w: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Homeowner Housing Rehabilitated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30" type="#_x0000_t75" style="width:60.75pt;height:18pt" o:ole="">
                              <v:imagedata r:id="rId87" o:title=""/>
                            </v:shape>
                            <w:control r:id="rId88" w:name="DefaultOcxName45" w:shapeid="_x0000_i203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9" type="#_x0000_t75" style="width:60.75pt;height:18pt" o:ole="">
                              <v:imagedata r:id="rId89" o:title=""/>
                            </v:shape>
                            <w:control r:id="rId90" w:name="DefaultOcxName46" w:shapeid="_x0000_i2029"/>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8" type="#_x0000_t75" style="width:38.25pt;height:18pt" o:ole="">
                              <v:imagedata r:id="rId91" o:title=""/>
                            </v:shape>
                            <w:control r:id="rId92" w:name="DefaultOcxName47" w:shapeid="_x0000_i2028"/>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Infrastructure Improvements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Non-Housing Commu</w:t>
                  </w:r>
                  <w:r w:rsidRPr="00A33BA5">
                    <w:rPr>
                      <w:rFonts w:ascii="Times New Roman" w:eastAsia="Times New Roman" w:hAnsi="Times New Roman"/>
                      <w:sz w:val="24"/>
                      <w:szCs w:val="24"/>
                    </w:rPr>
                    <w:lastRenderedPageBreak/>
                    <w:t xml:space="preserve">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34"/>
                    <w:gridCol w:w="1094"/>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lastRenderedPageBreak/>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$1,300,000.00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12"/>
                    <w:gridCol w:w="1140"/>
                    <w:gridCol w:w="1140"/>
                    <w:gridCol w:w="878"/>
                    <w:gridCol w:w="900"/>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lastRenderedPageBreak/>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w:t>
                        </w:r>
                        <w:r w:rsidRPr="00A33BA5">
                          <w:rPr>
                            <w:rFonts w:ascii="Times New Roman" w:eastAsia="Times New Roman" w:hAnsi="Times New Roman"/>
                            <w:b/>
                            <w:bCs/>
                            <w:sz w:val="24"/>
                            <w:szCs w:val="24"/>
                          </w:rPr>
                          <w:lastRenderedPageBreak/>
                          <w:t>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lastRenderedPageBreak/>
                          <w:t xml:space="preserve">Percent </w:t>
                        </w:r>
                        <w:r w:rsidRPr="00A33BA5">
                          <w:rPr>
                            <w:rFonts w:ascii="Times New Roman" w:eastAsia="Times New Roman" w:hAnsi="Times New Roman"/>
                            <w:b/>
                            <w:bCs/>
                            <w:sz w:val="24"/>
                            <w:szCs w:val="24"/>
                          </w:rPr>
                          <w:lastRenderedPageBreak/>
                          <w:t>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Public Facility or Infrastructure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7" type="#_x0000_t75" style="width:60.75pt;height:18pt" o:ole="">
                              <v:imagedata r:id="rId93" o:title=""/>
                            </v:shape>
                            <w:control r:id="rId94" w:name="DefaultOcxName48" w:shapeid="_x0000_i202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6" type="#_x0000_t75" style="width:60.75pt;height:18pt" o:ole="">
                              <v:imagedata r:id="rId95" o:title=""/>
                            </v:shape>
                            <w:control r:id="rId96" w:name="DefaultOcxName49" w:shapeid="_x0000_i2026"/>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5" type="#_x0000_t75" style="width:38.25pt;height:18pt" o:ole="">
                              <v:imagedata r:id="rId97" o:title=""/>
                            </v:shape>
                            <w:control r:id="rId98" w:name="DefaultOcxName50" w:shapeid="_x0000_i2025"/>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Park Facility Improvements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$500,000.00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12"/>
                    <w:gridCol w:w="1140"/>
                    <w:gridCol w:w="1140"/>
                    <w:gridCol w:w="878"/>
                    <w:gridCol w:w="900"/>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Facility or Infrastructure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4" type="#_x0000_t75" style="width:60.75pt;height:18pt" o:ole="">
                              <v:imagedata r:id="rId99" o:title=""/>
                            </v:shape>
                            <w:control r:id="rId100" w:name="DefaultOcxName51" w:shapeid="_x0000_i202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3" type="#_x0000_t75" style="width:60.75pt;height:18pt" o:ole="">
                              <v:imagedata r:id="rId101" o:title=""/>
                            </v:shape>
                            <w:control r:id="rId102" w:name="DefaultOcxName52" w:shapeid="_x0000_i2023"/>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2" type="#_x0000_t75" style="width:38.25pt;height:18pt" o:ole="">
                              <v:imagedata r:id="rId103" o:title=""/>
                            </v:shape>
                            <w:control r:id="rId104" w:name="DefaultOcxName53" w:shapeid="_x0000_i2022"/>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rHeight w:val="374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Rental Housing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Affordable Housing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$200,000.00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24"/>
                    <w:gridCol w:w="1138"/>
                    <w:gridCol w:w="1138"/>
                    <w:gridCol w:w="1072"/>
                    <w:gridCol w:w="898"/>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Rental units rehabilitated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1" type="#_x0000_t75" style="width:60.75pt;height:18pt" o:ole="">
                              <v:imagedata r:id="rId71" o:title=""/>
                            </v:shape>
                            <w:control r:id="rId105" w:name="DefaultOcxName54" w:shapeid="_x0000_i2021"/>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20" type="#_x0000_t75" style="width:60.75pt;height:18pt" o:ole="">
                              <v:imagedata r:id="rId21" o:title=""/>
                            </v:shape>
                            <w:control r:id="rId106" w:name="DefaultOcxName55" w:shapeid="_x0000_i2020"/>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 Housing Unit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9" type="#_x0000_t75" style="width:38.25pt;height:18pt" o:ole="">
                              <v:imagedata r:id="rId59" o:title=""/>
                            </v:shape>
                            <w:control r:id="rId107" w:name="DefaultOcxName56" w:shapeid="_x0000_i2019"/>
                          </w:object>
                        </w:r>
                        <w:r w:rsidR="00C12ED9" w:rsidRPr="00A33BA5">
                          <w:rPr>
                            <w:rFonts w:ascii="Times New Roman" w:eastAsia="Times New Roman" w:hAnsi="Times New Roman"/>
                            <w:sz w:val="24"/>
                            <w:szCs w:val="24"/>
                          </w:rPr>
                          <w: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Tenant-based rental assistance / Rapid Rehousing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8" type="#_x0000_t75" style="width:60.75pt;height:18pt" o:ole="">
                              <v:imagedata r:id="rId108" o:title=""/>
                            </v:shape>
                            <w:control r:id="rId109" w:name="DefaultOcxName57" w:shapeid="_x0000_i2018"/>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7" type="#_x0000_t75" style="width:60.75pt;height:18pt" o:ole="">
                              <v:imagedata r:id="rId21" o:title=""/>
                            </v:shape>
                            <w:control r:id="rId110" w:name="DefaultOcxName58" w:shapeid="_x0000_i2017"/>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Households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6" type="#_x0000_t75" style="width:38.25pt;height:18pt" o:ole="">
                              <v:imagedata r:id="rId59" o:title=""/>
                            </v:shape>
                            <w:control r:id="rId111" w:name="DefaultOcxName59" w:shapeid="_x0000_i2016"/>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lastRenderedPageBreak/>
                    <w:t>Transportation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Non-Homeless Special Needs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715"/>
                    <w:gridCol w:w="1013"/>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$20,000.00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12"/>
                    <w:gridCol w:w="1140"/>
                    <w:gridCol w:w="1140"/>
                    <w:gridCol w:w="878"/>
                    <w:gridCol w:w="900"/>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5" type="#_x0000_t75" style="width:60.75pt;height:18pt" o:ole="">
                              <v:imagedata r:id="rId112" o:title=""/>
                            </v:shape>
                            <w:control r:id="rId113" w:name="DefaultOcxName60" w:shapeid="_x0000_i2015"/>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4" type="#_x0000_t75" style="width:60.75pt;height:18pt" o:ole="">
                              <v:imagedata r:id="rId114" o:title=""/>
                            </v:shape>
                            <w:control r:id="rId115" w:name="DefaultOcxName61" w:shapeid="_x0000_i2014"/>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3" type="#_x0000_t75" style="width:38.25pt;height:18pt" o:ole="">
                              <v:imagedata r:id="rId116" o:title=""/>
                            </v:shape>
                            <w:control r:id="rId117" w:name="DefaultOcxName62" w:shapeid="_x0000_i2013"/>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r w:rsidR="00C12ED9" w:rsidRPr="00A33BA5" w:rsidTr="00C12ED9">
              <w:trPr>
                <w:trHeight w:val="709"/>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Youth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 xml:space="preserve">Non-Housing Community Development </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9"/>
                    <w:gridCol w:w="1049"/>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Amount</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CDBG</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t xml:space="preserve">$175,000.00 </w:t>
                        </w:r>
                      </w:p>
                    </w:tc>
                  </w:tr>
                </w:tbl>
                <w:p w:rsidR="00C12ED9" w:rsidRPr="00A33BA5" w:rsidRDefault="00C12ED9" w:rsidP="00C12ED9">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312"/>
                    <w:gridCol w:w="1140"/>
                    <w:gridCol w:w="1140"/>
                    <w:gridCol w:w="878"/>
                    <w:gridCol w:w="900"/>
                  </w:tblGrid>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Expected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Actual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Unit of Measure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jc w:val="center"/>
                          <w:rPr>
                            <w:rFonts w:ascii="Times New Roman" w:eastAsia="Times New Roman" w:hAnsi="Times New Roman"/>
                            <w:b/>
                            <w:bCs/>
                            <w:sz w:val="24"/>
                            <w:szCs w:val="24"/>
                          </w:rPr>
                        </w:pPr>
                        <w:r w:rsidRPr="00A33BA5">
                          <w:rPr>
                            <w:rFonts w:ascii="Times New Roman" w:eastAsia="Times New Roman" w:hAnsi="Times New Roman"/>
                            <w:b/>
                            <w:bCs/>
                            <w:sz w:val="24"/>
                            <w:szCs w:val="24"/>
                          </w:rPr>
                          <w:t>Percent complete</w:t>
                        </w:r>
                      </w:p>
                    </w:tc>
                  </w:tr>
                  <w:tr w:rsidR="00C12ED9" w:rsidRPr="00A33BA5" w:rsidTr="00C12ED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Public service activities other than Low/Moderate Income Housing Benefit</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jc w:val="right"/>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2" type="#_x0000_t75" style="width:60.75pt;height:18pt" o:ole="">
                              <v:imagedata r:id="rId118" o:title=""/>
                            </v:shape>
                            <w:control r:id="rId119" w:name="DefaultOcxName63" w:shapeid="_x0000_i2012"/>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1" type="#_x0000_t75" style="width:60.75pt;height:18pt" o:ole="">
                              <v:imagedata r:id="rId120" o:title=""/>
                            </v:shape>
                            <w:control r:id="rId121" w:name="DefaultOcxName64" w:shapeid="_x0000_i2011"/>
                          </w:objec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C12ED9"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t>Persons Assisted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2ED9" w:rsidRPr="00A33BA5" w:rsidRDefault="00704603" w:rsidP="00C12ED9">
                        <w:pPr>
                          <w:spacing w:after="0" w:line="240" w:lineRule="auto"/>
                          <w:rPr>
                            <w:rFonts w:ascii="Times New Roman" w:eastAsia="Times New Roman" w:hAnsi="Times New Roman"/>
                            <w:sz w:val="24"/>
                            <w:szCs w:val="24"/>
                          </w:rPr>
                        </w:pPr>
                        <w:r w:rsidRPr="00A33BA5">
                          <w:rPr>
                            <w:rFonts w:ascii="Times New Roman" w:eastAsia="Times New Roman" w:hAnsi="Times New Roman"/>
                            <w:sz w:val="24"/>
                            <w:szCs w:val="24"/>
                          </w:rPr>
                          <w:object w:dxaOrig="1440" w:dyaOrig="1440">
                            <v:shape id="_x0000_i2010" type="#_x0000_t75" style="width:38.25pt;height:18pt" o:ole="">
                              <v:imagedata r:id="rId122" o:title=""/>
                            </v:shape>
                            <w:control r:id="rId123" w:name="DefaultOcxName65" w:shapeid="_x0000_i2010"/>
                          </w:object>
                        </w:r>
                        <w:r w:rsidR="00C12ED9" w:rsidRPr="00A33BA5">
                          <w:rPr>
                            <w:rFonts w:ascii="Times New Roman" w:eastAsia="Times New Roman" w:hAnsi="Times New Roman"/>
                            <w:sz w:val="24"/>
                            <w:szCs w:val="24"/>
                          </w:rPr>
                          <w:t>%</w:t>
                        </w:r>
                      </w:p>
                    </w:tc>
                  </w:tr>
                </w:tbl>
                <w:p w:rsidR="00C12ED9" w:rsidRPr="00A33BA5" w:rsidRDefault="00C12ED9" w:rsidP="00C12ED9">
                  <w:pPr>
                    <w:spacing w:after="0" w:line="240" w:lineRule="auto"/>
                    <w:rPr>
                      <w:rFonts w:ascii="Times New Roman" w:eastAsia="Times New Roman" w:hAnsi="Times New Roman"/>
                      <w:sz w:val="24"/>
                      <w:szCs w:val="24"/>
                    </w:rPr>
                  </w:pPr>
                </w:p>
              </w:tc>
            </w:tr>
          </w:tbl>
          <w:p w:rsidR="00C12ED9" w:rsidRPr="00A33BA5" w:rsidRDefault="00C12ED9" w:rsidP="00C12ED9">
            <w:pPr>
              <w:spacing w:after="240" w:line="240" w:lineRule="auto"/>
              <w:jc w:val="center"/>
              <w:rPr>
                <w:rFonts w:ascii="Times New Roman" w:eastAsia="Times New Roman" w:hAnsi="Times New Roman"/>
                <w:sz w:val="24"/>
                <w:szCs w:val="24"/>
              </w:rPr>
            </w:pPr>
            <w:r w:rsidRPr="00A33BA5">
              <w:rPr>
                <w:rFonts w:ascii="Times New Roman" w:eastAsia="Times New Roman" w:hAnsi="Times New Roman"/>
                <w:sz w:val="24"/>
                <w:szCs w:val="24"/>
              </w:rPr>
              <w:br/>
            </w:r>
            <w:r w:rsidRPr="00A33BA5">
              <w:rPr>
                <w:rFonts w:ascii="Times New Roman" w:eastAsia="Times New Roman" w:hAnsi="Times New Roman"/>
                <w:sz w:val="24"/>
                <w:szCs w:val="24"/>
              </w:rPr>
              <w:br/>
            </w:r>
          </w:p>
        </w:tc>
      </w:tr>
    </w:tbl>
    <w:p w:rsidR="00A94410" w:rsidRDefault="00C12ED9" w:rsidP="00481401">
      <w:pPr>
        <w:keepNext/>
        <w:widowControl w:val="0"/>
        <w:spacing w:line="360" w:lineRule="auto"/>
        <w:contextualSpacing/>
        <w:rPr>
          <w:b/>
          <w:sz w:val="24"/>
          <w:szCs w:val="24"/>
        </w:rPr>
      </w:pPr>
      <w:r>
        <w:rPr>
          <w:b/>
          <w:sz w:val="24"/>
          <w:szCs w:val="24"/>
        </w:rPr>
        <w:lastRenderedPageBreak/>
        <w:t>Assess how the jurisdiction’s use of funds, particularly CDBG, addresses the priorities and specific objectives identified in the plan, giving special attention to the highest priority activities identified.</w:t>
      </w:r>
    </w:p>
    <w:p w:rsidR="00481401" w:rsidRDefault="00481401" w:rsidP="00481401">
      <w:pPr>
        <w:keepNext/>
        <w:widowControl w:val="0"/>
        <w:spacing w:line="360" w:lineRule="auto"/>
        <w:contextualSpacing/>
        <w:rPr>
          <w:b/>
          <w:sz w:val="24"/>
          <w:szCs w:val="24"/>
        </w:rPr>
      </w:pPr>
    </w:p>
    <w:p w:rsidR="00A94410" w:rsidRDefault="00C12ED9" w:rsidP="00481401">
      <w:pPr>
        <w:keepNext/>
        <w:widowControl w:val="0"/>
        <w:spacing w:afterAutospacing="1" w:line="360" w:lineRule="auto"/>
        <w:contextualSpacing/>
      </w:pPr>
      <w:r>
        <w:t>The City of New Albany's priorities included housing rehabilitation, park facility improvements, code enforcement and public infrastructure along with public services activities.  The Griffin Recreation Center</w:t>
      </w:r>
      <w:proofErr w:type="gramStart"/>
      <w:r>
        <w:t>  received</w:t>
      </w:r>
      <w:proofErr w:type="gramEnd"/>
      <w:r>
        <w:t xml:space="preserve"> restoration to the exterior of the building for sustainability.  Public infrastructure (sidewalks) was another priority for the City for which the engineering was completed and construction is underway.   The City continued to partner with New Directions Housing Corporation in two successful housing programs (Emergency Repair Program &amp; Repair Affair Program).  The Emergency Repair Program assisted 6 low-and moderate-income home owners with needed repairs meant to sustain the property.  The City assisted New Directions with program delivery costs for the Repair Affair Program which brought community agencies and businesses together to provide in-kind services and </w:t>
      </w:r>
      <w:r>
        <w:lastRenderedPageBreak/>
        <w:t xml:space="preserve">donated materials for 8 minor repairs. Public services programs targeted 607 youth providing enrichment and educational opportunities; after school care, character development, delinquency prevention and drug &amp; alcohol education.  Medical and social transportation was provided to 25 elderly and the disabled.   The Concentrated Code Enforcement Officer investigated 235 complaints resulting in 98 violations notices, which were all resolved during the program year.   The Freedom 101 Program was not able to be completed because jail renovations were continuing throughout the program year.  </w:t>
      </w:r>
    </w:p>
    <w:p w:rsidR="00481401" w:rsidRDefault="00481401" w:rsidP="00481401">
      <w:pPr>
        <w:keepNext/>
        <w:widowControl w:val="0"/>
        <w:spacing w:afterAutospacing="1" w:line="360" w:lineRule="auto"/>
        <w:contextualSpacing/>
      </w:pPr>
    </w:p>
    <w:p w:rsidR="00A94410" w:rsidRDefault="00C12ED9" w:rsidP="00481401">
      <w:pPr>
        <w:keepNext/>
        <w:widowControl w:val="0"/>
        <w:spacing w:afterAutospacing="1" w:line="360" w:lineRule="auto"/>
        <w:contextualSpacing/>
      </w:pPr>
      <w:r>
        <w:t>The City donated property to the Neighborhood Stabilization Program (NSP)</w:t>
      </w:r>
      <w:r w:rsidR="00B17BA6">
        <w:t> Phase</w:t>
      </w:r>
      <w:r>
        <w:t xml:space="preserve"> 2, implemented by New Directions Housing Corporation, Prog</w:t>
      </w:r>
      <w:r w:rsidR="00B17BA6">
        <w:t>ram Developer.  Two affordable </w:t>
      </w:r>
      <w:r>
        <w:t>housing units were constructed and sold during the program year</w:t>
      </w:r>
      <w:r w:rsidR="00330E1F">
        <w:t>, pictured below.</w:t>
      </w:r>
      <w:r>
        <w:t> </w:t>
      </w:r>
    </w:p>
    <w:p w:rsidR="00A94410" w:rsidRDefault="00A94410">
      <w:pPr>
        <w:keepNext/>
        <w:widowControl w:val="0"/>
        <w:spacing w:beforeAutospacing="1" w:afterAutospacing="1"/>
      </w:pPr>
    </w:p>
    <w:p w:rsidR="00A94410" w:rsidRDefault="00C12ED9">
      <w:pPr>
        <w:keepNext/>
        <w:widowControl w:val="0"/>
        <w:rPr>
          <w:szCs w:val="24"/>
        </w:rPr>
      </w:pPr>
      <w:r>
        <w:rPr>
          <w:b/>
          <w:noProof/>
          <w:szCs w:val="24"/>
        </w:rPr>
        <w:drawing>
          <wp:inline distT="0" distB="0" distL="0" distR="0">
            <wp:extent cx="4924425" cy="4457700"/>
            <wp:effectExtent l="0" t="228600" r="0" b="20955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rot="5400000">
                      <a:off x="0" y="0"/>
                      <a:ext cx="4924425" cy="4457700"/>
                    </a:xfrm>
                    <a:prstGeom prst="rect">
                      <a:avLst/>
                    </a:prstGeom>
                  </pic:spPr>
                </pic:pic>
              </a:graphicData>
            </a:graphic>
          </wp:inline>
        </w:drawing>
      </w:r>
      <w:r>
        <w:rPr>
          <w:b/>
          <w:szCs w:val="24"/>
        </w:rPr>
        <w:br/>
        <w:t>NSP Oak</w:t>
      </w:r>
    </w:p>
    <w:p w:rsidR="00A94410" w:rsidRDefault="00C12ED9">
      <w:pPr>
        <w:keepNext/>
        <w:widowControl w:val="0"/>
        <w:rPr>
          <w:szCs w:val="24"/>
        </w:rPr>
      </w:pPr>
      <w:r>
        <w:rPr>
          <w:b/>
          <w:noProof/>
          <w:szCs w:val="24"/>
        </w:rPr>
        <w:lastRenderedPageBreak/>
        <w:drawing>
          <wp:inline distT="0" distB="0" distL="0" distR="0">
            <wp:extent cx="5943600" cy="4457700"/>
            <wp:effectExtent l="0" t="742950" r="0" b="72390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rot="5400000">
                      <a:off x="0" y="0"/>
                      <a:ext cx="5943600" cy="4457700"/>
                    </a:xfrm>
                    <a:prstGeom prst="rect">
                      <a:avLst/>
                    </a:prstGeom>
                  </pic:spPr>
                </pic:pic>
              </a:graphicData>
            </a:graphic>
          </wp:inline>
        </w:drawing>
      </w:r>
      <w:r>
        <w:rPr>
          <w:b/>
          <w:szCs w:val="24"/>
        </w:rPr>
        <w:br/>
        <w:t>NSP Culbertson</w:t>
      </w:r>
    </w:p>
    <w:p w:rsidR="00A94410" w:rsidRDefault="00A94410">
      <w:pPr>
        <w:keepNext/>
        <w:widowControl w:val="0"/>
        <w:spacing w:line="204" w:lineRule="auto"/>
        <w:rPr>
          <w:b/>
          <w:sz w:val="24"/>
          <w:szCs w:val="24"/>
        </w:rPr>
      </w:pPr>
    </w:p>
    <w:p w:rsidR="00A94410" w:rsidRDefault="00A94410">
      <w:pPr>
        <w:rPr>
          <w:b/>
          <w:i/>
          <w:sz w:val="26"/>
          <w:szCs w:val="26"/>
        </w:rPr>
        <w:sectPr w:rsidR="00A94410" w:rsidSect="00EF74E6">
          <w:footerReference w:type="default" r:id="rId126"/>
          <w:pgSz w:w="12240" w:h="15840"/>
          <w:pgMar w:top="1040" w:right="1000" w:bottom="1040" w:left="1000" w:header="720" w:footer="720" w:gutter="0"/>
          <w:cols w:space="720"/>
          <w:docGrid w:linePitch="360"/>
        </w:sectPr>
      </w:pPr>
    </w:p>
    <w:p w:rsidR="00A94410" w:rsidRDefault="00C12ED9">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rsidR="00A94410" w:rsidRDefault="00C12ED9">
      <w:pPr>
        <w:keepNext/>
        <w:widowControl w:val="0"/>
        <w:rPr>
          <w:b/>
          <w:sz w:val="24"/>
          <w:szCs w:val="24"/>
        </w:rPr>
      </w:pPr>
      <w:r>
        <w:rPr>
          <w:b/>
          <w:sz w:val="24"/>
          <w:szCs w:val="24"/>
        </w:rPr>
        <w:t xml:space="preserve">Describe the families assisted (including the racial and ethnic status of families assisted). 91.520(a) </w:t>
      </w:r>
    </w:p>
    <w:p w:rsidR="00A94410" w:rsidRDefault="00A94410">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4"/>
        <w:gridCol w:w="1567"/>
      </w:tblGrid>
      <w:tr w:rsidR="00A94410">
        <w:trPr>
          <w:cantSplit/>
          <w:hidden/>
        </w:trPr>
        <w:tc>
          <w:tcPr>
            <w:tcW w:w="3773" w:type="pct"/>
          </w:tcPr>
          <w:p w:rsidR="00A94410" w:rsidRDefault="00A94410">
            <w:pPr>
              <w:widowControl w:val="0"/>
              <w:spacing w:after="0" w:line="240" w:lineRule="auto"/>
              <w:rPr>
                <w:vanish/>
              </w:rPr>
            </w:pPr>
          </w:p>
        </w:tc>
        <w:tc>
          <w:tcPr>
            <w:tcW w:w="1226" w:type="pct"/>
          </w:tcPr>
          <w:p w:rsidR="00A94410" w:rsidRDefault="00C12ED9">
            <w:pPr>
              <w:spacing w:after="0"/>
              <w:jc w:val="center"/>
              <w:rPr>
                <w:b/>
              </w:rPr>
            </w:pPr>
            <w:r>
              <w:rPr>
                <w:b/>
              </w:rPr>
              <w:t>CDBG</w:t>
            </w:r>
          </w:p>
        </w:tc>
      </w:tr>
      <w:tr w:rsidR="00A94410">
        <w:trPr>
          <w:cantSplit/>
        </w:trPr>
        <w:tc>
          <w:tcPr>
            <w:tcW w:w="4823" w:type="dxa"/>
            <w:vAlign w:val="bottom"/>
          </w:tcPr>
          <w:p w:rsidR="00A94410" w:rsidRDefault="00C12ED9">
            <w:pPr>
              <w:spacing w:beforeAutospacing="1" w:afterAutospacing="1"/>
            </w:pPr>
            <w:r>
              <w:rPr>
                <w:color w:val="000000"/>
              </w:rPr>
              <w:t>White</w:t>
            </w:r>
          </w:p>
        </w:tc>
        <w:tc>
          <w:tcPr>
            <w:tcW w:w="1568" w:type="dxa"/>
            <w:vAlign w:val="bottom"/>
          </w:tcPr>
          <w:p w:rsidR="00A94410" w:rsidRDefault="00C12ED9">
            <w:pPr>
              <w:spacing w:beforeAutospacing="1" w:afterAutospacing="1"/>
              <w:jc w:val="right"/>
            </w:pPr>
            <w:r>
              <w:rPr>
                <w:color w:val="000000"/>
              </w:rPr>
              <w:t>248</w:t>
            </w:r>
          </w:p>
        </w:tc>
      </w:tr>
      <w:tr w:rsidR="00A94410">
        <w:trPr>
          <w:cantSplit/>
        </w:trPr>
        <w:tc>
          <w:tcPr>
            <w:tcW w:w="4823" w:type="dxa"/>
            <w:vAlign w:val="bottom"/>
          </w:tcPr>
          <w:p w:rsidR="00A94410" w:rsidRDefault="00C12ED9">
            <w:pPr>
              <w:spacing w:beforeAutospacing="1" w:afterAutospacing="1"/>
            </w:pPr>
            <w:r>
              <w:rPr>
                <w:color w:val="000000"/>
              </w:rPr>
              <w:t>Black or African American</w:t>
            </w:r>
          </w:p>
        </w:tc>
        <w:tc>
          <w:tcPr>
            <w:tcW w:w="1568" w:type="dxa"/>
            <w:vAlign w:val="bottom"/>
          </w:tcPr>
          <w:p w:rsidR="00A94410" w:rsidRDefault="00C12ED9">
            <w:pPr>
              <w:spacing w:beforeAutospacing="1" w:afterAutospacing="1"/>
              <w:jc w:val="right"/>
            </w:pPr>
            <w:r>
              <w:rPr>
                <w:color w:val="000000"/>
              </w:rPr>
              <w:t>279</w:t>
            </w:r>
          </w:p>
        </w:tc>
      </w:tr>
      <w:tr w:rsidR="00A94410">
        <w:trPr>
          <w:cantSplit/>
        </w:trPr>
        <w:tc>
          <w:tcPr>
            <w:tcW w:w="4823" w:type="dxa"/>
            <w:vAlign w:val="bottom"/>
          </w:tcPr>
          <w:p w:rsidR="00A94410" w:rsidRDefault="00C12ED9">
            <w:pPr>
              <w:spacing w:beforeAutospacing="1" w:afterAutospacing="1"/>
            </w:pPr>
            <w:r>
              <w:rPr>
                <w:color w:val="000000"/>
              </w:rPr>
              <w:t>Asian</w:t>
            </w:r>
          </w:p>
        </w:tc>
        <w:tc>
          <w:tcPr>
            <w:tcW w:w="1568" w:type="dxa"/>
            <w:vAlign w:val="bottom"/>
          </w:tcPr>
          <w:p w:rsidR="00A94410" w:rsidRDefault="00C12ED9">
            <w:pPr>
              <w:spacing w:beforeAutospacing="1" w:afterAutospacing="1"/>
              <w:jc w:val="right"/>
            </w:pPr>
            <w:r>
              <w:rPr>
                <w:color w:val="000000"/>
              </w:rPr>
              <w:t>1</w:t>
            </w:r>
          </w:p>
        </w:tc>
      </w:tr>
      <w:tr w:rsidR="00A94410">
        <w:trPr>
          <w:cantSplit/>
        </w:trPr>
        <w:tc>
          <w:tcPr>
            <w:tcW w:w="4823" w:type="dxa"/>
            <w:vAlign w:val="bottom"/>
          </w:tcPr>
          <w:p w:rsidR="00A94410" w:rsidRDefault="00C12ED9">
            <w:pPr>
              <w:spacing w:beforeAutospacing="1" w:afterAutospacing="1"/>
            </w:pPr>
            <w:r>
              <w:rPr>
                <w:color w:val="000000"/>
              </w:rPr>
              <w:t>American Indian or American Native</w:t>
            </w:r>
          </w:p>
        </w:tc>
        <w:tc>
          <w:tcPr>
            <w:tcW w:w="1568" w:type="dxa"/>
            <w:vAlign w:val="bottom"/>
          </w:tcPr>
          <w:p w:rsidR="00A94410" w:rsidRDefault="00C12ED9">
            <w:pPr>
              <w:spacing w:beforeAutospacing="1" w:afterAutospacing="1"/>
              <w:jc w:val="right"/>
            </w:pPr>
            <w:r>
              <w:rPr>
                <w:color w:val="000000"/>
              </w:rPr>
              <w:t>8</w:t>
            </w:r>
          </w:p>
        </w:tc>
      </w:tr>
      <w:tr w:rsidR="00330E1F">
        <w:trPr>
          <w:cantSplit/>
        </w:trPr>
        <w:tc>
          <w:tcPr>
            <w:tcW w:w="4823" w:type="dxa"/>
            <w:vAlign w:val="bottom"/>
          </w:tcPr>
          <w:p w:rsidR="00330E1F" w:rsidRDefault="00330E1F" w:rsidP="00330E1F">
            <w:pPr>
              <w:spacing w:beforeAutospacing="1" w:afterAutospacing="1"/>
              <w:rPr>
                <w:color w:val="000000"/>
              </w:rPr>
            </w:pPr>
            <w:r>
              <w:rPr>
                <w:color w:val="000000"/>
              </w:rPr>
              <w:t>Black/African American/White</w:t>
            </w:r>
          </w:p>
        </w:tc>
        <w:tc>
          <w:tcPr>
            <w:tcW w:w="1568" w:type="dxa"/>
            <w:vAlign w:val="bottom"/>
          </w:tcPr>
          <w:p w:rsidR="00330E1F" w:rsidRDefault="00330E1F">
            <w:pPr>
              <w:spacing w:beforeAutospacing="1" w:afterAutospacing="1"/>
              <w:jc w:val="right"/>
              <w:rPr>
                <w:color w:val="000000"/>
              </w:rPr>
            </w:pPr>
            <w:r>
              <w:rPr>
                <w:color w:val="000000"/>
              </w:rPr>
              <w:t>107</w:t>
            </w:r>
          </w:p>
        </w:tc>
      </w:tr>
      <w:tr w:rsidR="00A94410">
        <w:trPr>
          <w:cantSplit/>
        </w:trPr>
        <w:tc>
          <w:tcPr>
            <w:tcW w:w="4823" w:type="dxa"/>
            <w:vAlign w:val="bottom"/>
          </w:tcPr>
          <w:p w:rsidR="00A94410" w:rsidRDefault="00C12ED9">
            <w:pPr>
              <w:spacing w:beforeAutospacing="1" w:afterAutospacing="1"/>
            </w:pPr>
            <w:r>
              <w:rPr>
                <w:color w:val="000000"/>
              </w:rPr>
              <w:t>Native Hawaiian or Other Pacific Islander</w:t>
            </w:r>
          </w:p>
        </w:tc>
        <w:tc>
          <w:tcPr>
            <w:tcW w:w="1568" w:type="dxa"/>
            <w:vAlign w:val="bottom"/>
          </w:tcPr>
          <w:p w:rsidR="00A94410" w:rsidRDefault="00C12ED9">
            <w:pPr>
              <w:spacing w:beforeAutospacing="1" w:afterAutospacing="1"/>
              <w:jc w:val="right"/>
            </w:pPr>
            <w:r>
              <w:rPr>
                <w:color w:val="000000"/>
              </w:rPr>
              <w:t>0</w:t>
            </w:r>
          </w:p>
        </w:tc>
      </w:tr>
    </w:tbl>
    <w:p w:rsidR="00A94410" w:rsidRDefault="00A94410">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4"/>
        <w:gridCol w:w="1567"/>
        <w:gridCol w:w="21"/>
      </w:tblGrid>
      <w:tr w:rsidR="00A94410">
        <w:trPr>
          <w:cantSplit/>
          <w:hidden/>
        </w:trPr>
        <w:tc>
          <w:tcPr>
            <w:tcW w:w="3761" w:type="pct"/>
          </w:tcPr>
          <w:p w:rsidR="00A94410" w:rsidRDefault="00A94410">
            <w:pPr>
              <w:widowControl w:val="0"/>
              <w:spacing w:after="0" w:line="240" w:lineRule="auto"/>
              <w:rPr>
                <w:vanish/>
              </w:rPr>
            </w:pPr>
          </w:p>
        </w:tc>
        <w:tc>
          <w:tcPr>
            <w:tcW w:w="1239" w:type="pct"/>
            <w:gridSpan w:val="2"/>
          </w:tcPr>
          <w:p w:rsidR="00A94410" w:rsidRDefault="00A94410">
            <w:pPr>
              <w:widowControl w:val="0"/>
              <w:spacing w:after="0" w:line="240" w:lineRule="auto"/>
              <w:jc w:val="center"/>
              <w:rPr>
                <w:b/>
                <w:vanish/>
              </w:rPr>
            </w:pPr>
          </w:p>
        </w:tc>
      </w:tr>
      <w:tr w:rsidR="00330E1F">
        <w:trPr>
          <w:gridAfter w:val="1"/>
          <w:wAfter w:w="21" w:type="dxa"/>
          <w:cantSplit/>
        </w:trPr>
        <w:tc>
          <w:tcPr>
            <w:tcW w:w="4823" w:type="dxa"/>
            <w:vAlign w:val="bottom"/>
          </w:tcPr>
          <w:p w:rsidR="00330E1F" w:rsidRPr="00330E1F" w:rsidRDefault="00330E1F">
            <w:pPr>
              <w:spacing w:beforeAutospacing="1" w:afterAutospacing="1"/>
              <w:rPr>
                <w:color w:val="000000"/>
              </w:rPr>
            </w:pPr>
            <w:r w:rsidRPr="00330E1F">
              <w:rPr>
                <w:color w:val="000000"/>
              </w:rPr>
              <w:t>Other</w:t>
            </w:r>
          </w:p>
        </w:tc>
        <w:tc>
          <w:tcPr>
            <w:tcW w:w="1568" w:type="dxa"/>
            <w:vAlign w:val="bottom"/>
          </w:tcPr>
          <w:p w:rsidR="00330E1F" w:rsidRPr="00330E1F" w:rsidRDefault="00330E1F">
            <w:pPr>
              <w:spacing w:beforeAutospacing="1" w:afterAutospacing="1"/>
              <w:jc w:val="right"/>
              <w:rPr>
                <w:color w:val="000000"/>
              </w:rPr>
            </w:pPr>
            <w:r w:rsidRPr="00330E1F">
              <w:rPr>
                <w:color w:val="000000"/>
              </w:rPr>
              <w:t>3</w:t>
            </w:r>
          </w:p>
        </w:tc>
      </w:tr>
      <w:tr w:rsidR="00A94410">
        <w:trPr>
          <w:gridAfter w:val="1"/>
          <w:wAfter w:w="21" w:type="dxa"/>
          <w:cantSplit/>
        </w:trPr>
        <w:tc>
          <w:tcPr>
            <w:tcW w:w="4823" w:type="dxa"/>
            <w:vAlign w:val="bottom"/>
          </w:tcPr>
          <w:p w:rsidR="00A94410" w:rsidRDefault="00C12ED9">
            <w:pPr>
              <w:spacing w:beforeAutospacing="1" w:afterAutospacing="1"/>
            </w:pPr>
            <w:r>
              <w:rPr>
                <w:b/>
                <w:color w:val="000000"/>
              </w:rPr>
              <w:t>Total</w:t>
            </w:r>
          </w:p>
        </w:tc>
        <w:tc>
          <w:tcPr>
            <w:tcW w:w="1568" w:type="dxa"/>
            <w:vAlign w:val="bottom"/>
          </w:tcPr>
          <w:p w:rsidR="00A94410" w:rsidRDefault="00330E1F">
            <w:pPr>
              <w:spacing w:beforeAutospacing="1" w:afterAutospacing="1"/>
              <w:jc w:val="right"/>
            </w:pPr>
            <w:r>
              <w:rPr>
                <w:b/>
                <w:color w:val="000000"/>
              </w:rPr>
              <w:t>646</w:t>
            </w:r>
          </w:p>
        </w:tc>
      </w:tr>
    </w:tbl>
    <w:p w:rsidR="00A94410" w:rsidRDefault="00A94410">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4"/>
        <w:gridCol w:w="1567"/>
        <w:gridCol w:w="21"/>
      </w:tblGrid>
      <w:tr w:rsidR="00A94410">
        <w:trPr>
          <w:cantSplit/>
          <w:hidden/>
        </w:trPr>
        <w:tc>
          <w:tcPr>
            <w:tcW w:w="3761" w:type="pct"/>
          </w:tcPr>
          <w:p w:rsidR="00A94410" w:rsidRDefault="00A94410">
            <w:pPr>
              <w:widowControl w:val="0"/>
              <w:spacing w:after="0" w:line="240" w:lineRule="auto"/>
              <w:rPr>
                <w:vanish/>
              </w:rPr>
            </w:pPr>
          </w:p>
        </w:tc>
        <w:tc>
          <w:tcPr>
            <w:tcW w:w="1239" w:type="pct"/>
            <w:gridSpan w:val="2"/>
          </w:tcPr>
          <w:p w:rsidR="00A94410" w:rsidRDefault="00A94410">
            <w:pPr>
              <w:widowControl w:val="0"/>
              <w:spacing w:after="0" w:line="240" w:lineRule="auto"/>
              <w:jc w:val="center"/>
              <w:rPr>
                <w:b/>
                <w:vanish/>
              </w:rPr>
            </w:pPr>
          </w:p>
        </w:tc>
      </w:tr>
      <w:tr w:rsidR="00A94410">
        <w:trPr>
          <w:gridAfter w:val="1"/>
          <w:wAfter w:w="21" w:type="dxa"/>
          <w:cantSplit/>
        </w:trPr>
        <w:tc>
          <w:tcPr>
            <w:tcW w:w="4823" w:type="dxa"/>
            <w:vAlign w:val="bottom"/>
          </w:tcPr>
          <w:p w:rsidR="00A94410" w:rsidRDefault="00C12ED9">
            <w:pPr>
              <w:spacing w:beforeAutospacing="1" w:afterAutospacing="1"/>
            </w:pPr>
            <w:r>
              <w:rPr>
                <w:color w:val="000000"/>
              </w:rPr>
              <w:t>Hispanic</w:t>
            </w:r>
          </w:p>
        </w:tc>
        <w:tc>
          <w:tcPr>
            <w:tcW w:w="1568" w:type="dxa"/>
            <w:vAlign w:val="bottom"/>
          </w:tcPr>
          <w:p w:rsidR="00A94410" w:rsidRDefault="00C12ED9">
            <w:pPr>
              <w:spacing w:beforeAutospacing="1" w:afterAutospacing="1"/>
              <w:jc w:val="right"/>
            </w:pPr>
            <w:r>
              <w:rPr>
                <w:color w:val="000000"/>
              </w:rPr>
              <w:t>26</w:t>
            </w:r>
          </w:p>
        </w:tc>
      </w:tr>
      <w:tr w:rsidR="00A94410">
        <w:trPr>
          <w:gridAfter w:val="1"/>
          <w:wAfter w:w="21" w:type="dxa"/>
          <w:cantSplit/>
        </w:trPr>
        <w:tc>
          <w:tcPr>
            <w:tcW w:w="4823" w:type="dxa"/>
            <w:vAlign w:val="bottom"/>
          </w:tcPr>
          <w:p w:rsidR="00A94410" w:rsidRDefault="00C12ED9">
            <w:pPr>
              <w:spacing w:beforeAutospacing="1" w:afterAutospacing="1"/>
            </w:pPr>
            <w:r>
              <w:rPr>
                <w:color w:val="000000"/>
              </w:rPr>
              <w:t>Not Hispanic</w:t>
            </w:r>
          </w:p>
        </w:tc>
        <w:tc>
          <w:tcPr>
            <w:tcW w:w="1568" w:type="dxa"/>
            <w:vAlign w:val="bottom"/>
          </w:tcPr>
          <w:p w:rsidR="00A94410" w:rsidRDefault="00330E1F" w:rsidP="00330E1F">
            <w:pPr>
              <w:spacing w:beforeAutospacing="1" w:afterAutospacing="1"/>
              <w:jc w:val="right"/>
            </w:pPr>
            <w:r>
              <w:rPr>
                <w:color w:val="000000"/>
              </w:rPr>
              <w:t>620</w:t>
            </w:r>
          </w:p>
        </w:tc>
      </w:tr>
    </w:tbl>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keepNext/>
        <w:widowControl w:val="0"/>
        <w:spacing w:after="0" w:line="240" w:lineRule="auto"/>
        <w:rPr>
          <w:b/>
          <w:vanish/>
          <w:sz w:val="24"/>
          <w:szCs w:val="24"/>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A94410">
      <w:pPr>
        <w:pStyle w:val="NoSpacing"/>
        <w:rPr>
          <w:vanish/>
        </w:rPr>
      </w:pPr>
    </w:p>
    <w:p w:rsidR="00A94410" w:rsidRDefault="00C12ED9">
      <w:pPr>
        <w:keepNext/>
        <w:widowControl w:val="0"/>
        <w:ind w:firstLine="720"/>
        <w:rPr>
          <w:b/>
          <w:color w:val="000000" w:themeColor="text1"/>
          <w:sz w:val="20"/>
          <w:szCs w:val="20"/>
        </w:rPr>
      </w:pPr>
      <w:r>
        <w:rPr>
          <w:rFonts w:asciiTheme="minorHAnsi" w:hAnsiTheme="minorHAnsi"/>
          <w:b/>
          <w:sz w:val="20"/>
          <w:szCs w:val="20"/>
        </w:rPr>
        <w:t xml:space="preserve">Table </w:t>
      </w:r>
      <w:r w:rsidR="00704603">
        <w:rPr>
          <w:rFonts w:asciiTheme="minorHAnsi" w:hAnsiTheme="minorHAnsi"/>
          <w:b/>
          <w:sz w:val="20"/>
          <w:szCs w:val="20"/>
        </w:rPr>
        <w:fldChar w:fldCharType="begin"/>
      </w:r>
      <w:r>
        <w:rPr>
          <w:rFonts w:asciiTheme="minorHAnsi" w:hAnsiTheme="minorHAnsi"/>
          <w:b/>
          <w:sz w:val="20"/>
          <w:szCs w:val="20"/>
        </w:rPr>
        <w:instrText xml:space="preserve"> SEQ Table \* ARABIC </w:instrText>
      </w:r>
      <w:r w:rsidR="00704603">
        <w:rPr>
          <w:rFonts w:asciiTheme="minorHAnsi" w:hAnsiTheme="minorHAnsi"/>
          <w:b/>
          <w:sz w:val="20"/>
          <w:szCs w:val="20"/>
        </w:rPr>
        <w:fldChar w:fldCharType="separate"/>
      </w:r>
      <w:r w:rsidR="00AD2AE0">
        <w:rPr>
          <w:rFonts w:asciiTheme="minorHAnsi" w:hAnsiTheme="minorHAnsi"/>
          <w:b/>
          <w:noProof/>
          <w:sz w:val="20"/>
          <w:szCs w:val="20"/>
        </w:rPr>
        <w:t>2</w:t>
      </w:r>
      <w:r w:rsidR="00704603">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A94410" w:rsidRDefault="00C12ED9">
      <w:pPr>
        <w:widowControl w:val="0"/>
        <w:rPr>
          <w:b/>
          <w:sz w:val="24"/>
          <w:szCs w:val="24"/>
        </w:rPr>
      </w:pPr>
      <w:r>
        <w:rPr>
          <w:b/>
          <w:sz w:val="24"/>
          <w:szCs w:val="24"/>
        </w:rPr>
        <w:t>Narrative</w:t>
      </w:r>
    </w:p>
    <w:p w:rsidR="00A94410" w:rsidRDefault="00C12ED9">
      <w:pPr>
        <w:widowControl w:val="0"/>
        <w:spacing w:beforeAutospacing="1" w:afterAutospacing="1"/>
      </w:pPr>
      <w:r>
        <w:t>The chart above has been revised to include all public service and housing activities (persons assisted), that we collect data for in the IDIS system. </w:t>
      </w:r>
    </w:p>
    <w:bookmarkEnd w:id="0"/>
    <w:p w:rsidR="00A94410" w:rsidRDefault="008E5BB0">
      <w:pPr>
        <w:pStyle w:val="Heading2"/>
        <w:rPr>
          <w:rFonts w:ascii="Calibri" w:hAnsi="Calibri"/>
          <w:i w:val="0"/>
        </w:rPr>
      </w:pPr>
      <w:r>
        <w:rPr>
          <w:rFonts w:ascii="Calibri" w:hAnsi="Calibri"/>
          <w:i w:val="0"/>
        </w:rPr>
        <w:t>CR-15 - Resources and Investments 91.520(a)</w:t>
      </w:r>
    </w:p>
    <w:p w:rsidR="00A94410" w:rsidRDefault="008E5BB0">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gridCol w:w="2394"/>
      </w:tblGrid>
      <w:tr w:rsidR="00A94410">
        <w:trPr>
          <w:cantSplit/>
        </w:trPr>
        <w:tc>
          <w:tcPr>
            <w:tcW w:w="2394" w:type="dxa"/>
          </w:tcPr>
          <w:p w:rsidR="00A94410" w:rsidRDefault="008E5BB0">
            <w:pPr>
              <w:keepNext/>
              <w:widowControl w:val="0"/>
              <w:spacing w:after="0" w:line="240" w:lineRule="auto"/>
              <w:jc w:val="center"/>
              <w:rPr>
                <w:rFonts w:cs="Arial"/>
                <w:b/>
              </w:rPr>
            </w:pPr>
            <w:r>
              <w:rPr>
                <w:rFonts w:cs="Arial"/>
                <w:b/>
              </w:rPr>
              <w:t>Source of Funds</w:t>
            </w:r>
          </w:p>
        </w:tc>
        <w:tc>
          <w:tcPr>
            <w:tcW w:w="2394" w:type="dxa"/>
          </w:tcPr>
          <w:p w:rsidR="00A94410" w:rsidRDefault="008E5BB0">
            <w:pPr>
              <w:keepNext/>
              <w:widowControl w:val="0"/>
              <w:spacing w:after="0" w:line="240" w:lineRule="auto"/>
              <w:jc w:val="center"/>
              <w:rPr>
                <w:rFonts w:cs="Arial"/>
                <w:b/>
              </w:rPr>
            </w:pPr>
            <w:r>
              <w:rPr>
                <w:rFonts w:cs="Arial"/>
                <w:b/>
              </w:rPr>
              <w:t>Source</w:t>
            </w:r>
          </w:p>
        </w:tc>
        <w:tc>
          <w:tcPr>
            <w:tcW w:w="2394" w:type="dxa"/>
          </w:tcPr>
          <w:p w:rsidR="00A94410" w:rsidRDefault="008E5BB0">
            <w:pPr>
              <w:keepNext/>
              <w:spacing w:after="0" w:line="240" w:lineRule="auto"/>
              <w:jc w:val="center"/>
              <w:rPr>
                <w:rFonts w:cs="Arial"/>
                <w:b/>
              </w:rPr>
            </w:pPr>
            <w:r>
              <w:rPr>
                <w:rFonts w:cs="Arial"/>
                <w:b/>
              </w:rPr>
              <w:t>Resources Made Available</w:t>
            </w:r>
          </w:p>
        </w:tc>
        <w:tc>
          <w:tcPr>
            <w:tcW w:w="2394" w:type="dxa"/>
          </w:tcPr>
          <w:p w:rsidR="00A94410" w:rsidRDefault="008E5BB0">
            <w:pPr>
              <w:keepNext/>
              <w:widowControl w:val="0"/>
              <w:spacing w:after="0" w:line="240" w:lineRule="auto"/>
              <w:jc w:val="center"/>
              <w:rPr>
                <w:rFonts w:cs="Arial"/>
                <w:b/>
              </w:rPr>
            </w:pPr>
            <w:r>
              <w:rPr>
                <w:rFonts w:cs="Arial"/>
                <w:b/>
              </w:rPr>
              <w:t>Amount Expended During Program Year</w:t>
            </w:r>
          </w:p>
        </w:tc>
      </w:tr>
      <w:tr w:rsidR="00A94410">
        <w:trPr>
          <w:cantSplit/>
        </w:trPr>
        <w:tc>
          <w:tcPr>
            <w:tcW w:w="0" w:type="auto"/>
            <w:vAlign w:val="bottom"/>
          </w:tcPr>
          <w:p w:rsidR="00A94410" w:rsidRDefault="008E5BB0">
            <w:pPr>
              <w:spacing w:beforeAutospacing="1" w:afterAutospacing="1"/>
            </w:pPr>
            <w:r>
              <w:rPr>
                <w:color w:val="000000"/>
              </w:rPr>
              <w:t>CDBG</w:t>
            </w:r>
          </w:p>
        </w:tc>
        <w:tc>
          <w:tcPr>
            <w:tcW w:w="0" w:type="auto"/>
            <w:vAlign w:val="bottom"/>
          </w:tcPr>
          <w:p w:rsidR="00A94410" w:rsidRDefault="008E5BB0">
            <w:pPr>
              <w:spacing w:beforeAutospacing="1" w:afterAutospacing="1"/>
            </w:pPr>
            <w:r>
              <w:rPr>
                <w:color w:val="000000"/>
              </w:rPr>
              <w:t>public - federal</w:t>
            </w:r>
          </w:p>
        </w:tc>
        <w:tc>
          <w:tcPr>
            <w:tcW w:w="0" w:type="auto"/>
            <w:vAlign w:val="bottom"/>
          </w:tcPr>
          <w:p w:rsidR="00A94410" w:rsidRDefault="008E5BB0">
            <w:pPr>
              <w:spacing w:beforeAutospacing="1" w:afterAutospacing="1"/>
              <w:jc w:val="right"/>
            </w:pPr>
            <w:r>
              <w:rPr>
                <w:color w:val="000000"/>
              </w:rPr>
              <w:t>863,645</w:t>
            </w:r>
          </w:p>
        </w:tc>
        <w:tc>
          <w:tcPr>
            <w:tcW w:w="0" w:type="auto"/>
            <w:vAlign w:val="bottom"/>
          </w:tcPr>
          <w:p w:rsidR="00A94410" w:rsidRDefault="008E5BB0">
            <w:pPr>
              <w:spacing w:beforeAutospacing="1" w:afterAutospacing="1"/>
              <w:jc w:val="right"/>
            </w:pPr>
            <w:r>
              <w:rPr>
                <w:color w:val="000000"/>
              </w:rPr>
              <w:t>515,698</w:t>
            </w:r>
          </w:p>
        </w:tc>
      </w:tr>
    </w:tbl>
    <w:p w:rsidR="00A94410" w:rsidRDefault="008E5BB0">
      <w:pPr>
        <w:pStyle w:val="Caption"/>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3</w:t>
      </w:r>
      <w:r w:rsidR="00704603">
        <w:rPr>
          <w:rFonts w:asciiTheme="minorHAnsi" w:hAnsiTheme="minorHAnsi"/>
        </w:rPr>
        <w:fldChar w:fldCharType="end"/>
      </w:r>
      <w:r>
        <w:rPr>
          <w:rFonts w:asciiTheme="minorHAnsi" w:hAnsiTheme="minorHAnsi"/>
        </w:rPr>
        <w:t xml:space="preserve"> - Resources Made Available</w:t>
      </w:r>
    </w:p>
    <w:p w:rsidR="00A94410" w:rsidRDefault="00A94410">
      <w:pPr>
        <w:spacing w:after="0" w:line="240" w:lineRule="auto"/>
        <w:rPr>
          <w:b/>
          <w:sz w:val="24"/>
          <w:szCs w:val="24"/>
        </w:rPr>
      </w:pPr>
    </w:p>
    <w:p w:rsidR="00A94410" w:rsidRDefault="008E5BB0" w:rsidP="00481401">
      <w:pPr>
        <w:spacing w:after="0" w:line="360" w:lineRule="auto"/>
        <w:contextualSpacing/>
        <w:rPr>
          <w:b/>
          <w:sz w:val="24"/>
          <w:szCs w:val="24"/>
        </w:rPr>
      </w:pPr>
      <w:r>
        <w:rPr>
          <w:b/>
          <w:sz w:val="24"/>
          <w:szCs w:val="24"/>
        </w:rPr>
        <w:t>Narrative</w:t>
      </w:r>
    </w:p>
    <w:p w:rsidR="00A94410" w:rsidRDefault="008E5BB0" w:rsidP="00F8120E">
      <w:pPr>
        <w:spacing w:after="100" w:afterAutospacing="1" w:line="360" w:lineRule="auto"/>
        <w:contextualSpacing/>
        <w:rPr>
          <w:rFonts w:cs="Arial"/>
        </w:rPr>
      </w:pPr>
      <w:r>
        <w:rPr>
          <w:rFonts w:cs="Arial"/>
        </w:rPr>
        <w:t xml:space="preserve">The City received $671,354, entitlement during FY19, $100, of program income, and had carried </w:t>
      </w:r>
      <w:r w:rsidR="00B17BA6">
        <w:rPr>
          <w:rFonts w:cs="Arial"/>
        </w:rPr>
        <w:t>over $</w:t>
      </w:r>
      <w:r>
        <w:rPr>
          <w:rFonts w:cs="Arial"/>
        </w:rPr>
        <w:t>192</w:t>
      </w:r>
      <w:r w:rsidR="00B17BA6">
        <w:rPr>
          <w:rFonts w:cs="Arial"/>
        </w:rPr>
        <w:t>, 11</w:t>
      </w:r>
      <w:r>
        <w:rPr>
          <w:rFonts w:cs="Arial"/>
        </w:rPr>
        <w:t xml:space="preserve"> from FY18 for a total of $863,645. The largest allocation of funding 53% went toward public facility projects (sidewalks and park </w:t>
      </w:r>
      <w:r w:rsidR="0065564B">
        <w:rPr>
          <w:rFonts w:cs="Arial"/>
        </w:rPr>
        <w:t xml:space="preserve">facility </w:t>
      </w:r>
      <w:r w:rsidR="00B17BA6">
        <w:rPr>
          <w:rFonts w:cs="Arial"/>
        </w:rPr>
        <w:t>improvements</w:t>
      </w:r>
      <w:r>
        <w:rPr>
          <w:rFonts w:cs="Arial"/>
        </w:rPr>
        <w:t>) and 18% went toward related housing activities including concentrated code enforcement.  The remaining was public services and administrative costs. Basically 100% went toward serving low-and moderate-income population within the City of New Albany.</w:t>
      </w:r>
    </w:p>
    <w:p w:rsidR="00A94410" w:rsidRDefault="00A94410" w:rsidP="00F8120E">
      <w:pPr>
        <w:spacing w:after="100" w:afterAutospacing="1" w:line="360" w:lineRule="auto"/>
        <w:contextualSpacing/>
        <w:rPr>
          <w:rFonts w:cs="Arial"/>
        </w:rPr>
      </w:pPr>
    </w:p>
    <w:p w:rsidR="00A94410" w:rsidRDefault="00A94410">
      <w:pPr>
        <w:spacing w:after="0" w:line="240" w:lineRule="auto"/>
        <w:rPr>
          <w:b/>
          <w:sz w:val="24"/>
          <w:szCs w:val="24"/>
        </w:rPr>
      </w:pPr>
    </w:p>
    <w:p w:rsidR="00A94410" w:rsidRDefault="008E5BB0">
      <w:pPr>
        <w:keepNext/>
        <w:spacing w:after="0" w:line="240" w:lineRule="auto"/>
        <w:rPr>
          <w:b/>
          <w:sz w:val="24"/>
          <w:szCs w:val="24"/>
        </w:rPr>
      </w:pPr>
      <w:r>
        <w:rPr>
          <w:b/>
          <w:sz w:val="24"/>
          <w:szCs w:val="24"/>
        </w:rPr>
        <w:lastRenderedPageBreak/>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2355"/>
        <w:gridCol w:w="2355"/>
        <w:gridCol w:w="2355"/>
      </w:tblGrid>
      <w:tr w:rsidR="00A94410">
        <w:trPr>
          <w:cantSplit/>
        </w:trPr>
        <w:tc>
          <w:tcPr>
            <w:tcW w:w="2394" w:type="dxa"/>
          </w:tcPr>
          <w:p w:rsidR="00A94410" w:rsidRDefault="008E5BB0">
            <w:pPr>
              <w:keepNext/>
              <w:widowControl w:val="0"/>
              <w:spacing w:after="0" w:line="240" w:lineRule="auto"/>
              <w:jc w:val="center"/>
              <w:rPr>
                <w:rFonts w:cs="Arial"/>
                <w:b/>
              </w:rPr>
            </w:pPr>
            <w:r>
              <w:rPr>
                <w:rFonts w:cs="Arial"/>
                <w:b/>
              </w:rPr>
              <w:t>Target Area</w:t>
            </w:r>
          </w:p>
        </w:tc>
        <w:tc>
          <w:tcPr>
            <w:tcW w:w="2394" w:type="dxa"/>
          </w:tcPr>
          <w:p w:rsidR="00A94410" w:rsidRDefault="008E5BB0">
            <w:pPr>
              <w:keepNext/>
              <w:widowControl w:val="0"/>
              <w:spacing w:after="0" w:line="240" w:lineRule="auto"/>
              <w:jc w:val="center"/>
              <w:rPr>
                <w:rFonts w:cs="Arial"/>
                <w:b/>
              </w:rPr>
            </w:pPr>
            <w:r>
              <w:rPr>
                <w:rFonts w:cs="Arial"/>
                <w:b/>
              </w:rPr>
              <w:t>Planned Percentage of Allocation</w:t>
            </w:r>
          </w:p>
        </w:tc>
        <w:tc>
          <w:tcPr>
            <w:tcW w:w="2394" w:type="dxa"/>
          </w:tcPr>
          <w:p w:rsidR="00A94410" w:rsidRDefault="008E5BB0">
            <w:pPr>
              <w:keepNext/>
              <w:spacing w:after="0" w:line="240" w:lineRule="auto"/>
              <w:jc w:val="center"/>
              <w:rPr>
                <w:rFonts w:cs="Arial"/>
                <w:b/>
              </w:rPr>
            </w:pPr>
            <w:r>
              <w:rPr>
                <w:rFonts w:cs="Arial"/>
                <w:b/>
              </w:rPr>
              <w:t>Actual Percentage of Allocation</w:t>
            </w:r>
          </w:p>
        </w:tc>
        <w:tc>
          <w:tcPr>
            <w:tcW w:w="2394" w:type="dxa"/>
          </w:tcPr>
          <w:p w:rsidR="00A94410" w:rsidRDefault="008E5BB0">
            <w:pPr>
              <w:keepNext/>
              <w:widowControl w:val="0"/>
              <w:spacing w:after="0" w:line="240" w:lineRule="auto"/>
              <w:jc w:val="center"/>
              <w:rPr>
                <w:rFonts w:cs="Arial"/>
                <w:b/>
              </w:rPr>
            </w:pPr>
            <w:r>
              <w:rPr>
                <w:rFonts w:cs="Arial"/>
                <w:b/>
              </w:rPr>
              <w:t>Narrative Description</w:t>
            </w:r>
          </w:p>
        </w:tc>
      </w:tr>
      <w:tr w:rsidR="00A94410">
        <w:trPr>
          <w:cantSplit/>
        </w:trPr>
        <w:tc>
          <w:tcPr>
            <w:tcW w:w="0" w:type="auto"/>
            <w:vAlign w:val="bottom"/>
          </w:tcPr>
          <w:p w:rsidR="00A94410" w:rsidRDefault="008E5BB0">
            <w:pPr>
              <w:spacing w:beforeAutospacing="1" w:afterAutospacing="1"/>
            </w:pPr>
            <w:r>
              <w:rPr>
                <w:color w:val="000000"/>
              </w:rPr>
              <w:t>City of New Albany</w:t>
            </w:r>
          </w:p>
        </w:tc>
        <w:tc>
          <w:tcPr>
            <w:tcW w:w="0" w:type="auto"/>
            <w:vAlign w:val="bottom"/>
          </w:tcPr>
          <w:p w:rsidR="00A94410" w:rsidRDefault="008E5BB0">
            <w:pPr>
              <w:spacing w:beforeAutospacing="1" w:afterAutospacing="1"/>
            </w:pPr>
            <w:r>
              <w:rPr>
                <w:color w:val="000000"/>
              </w:rPr>
              <w:t xml:space="preserve"> </w:t>
            </w:r>
          </w:p>
        </w:tc>
        <w:tc>
          <w:tcPr>
            <w:tcW w:w="0" w:type="auto"/>
            <w:vAlign w:val="bottom"/>
          </w:tcPr>
          <w:p w:rsidR="00A94410" w:rsidRDefault="008E5BB0">
            <w:pPr>
              <w:spacing w:beforeAutospacing="1" w:afterAutospacing="1"/>
            </w:pPr>
            <w:r>
              <w:rPr>
                <w:color w:val="000000"/>
              </w:rPr>
              <w:t xml:space="preserve"> </w:t>
            </w:r>
          </w:p>
        </w:tc>
        <w:tc>
          <w:tcPr>
            <w:tcW w:w="0" w:type="auto"/>
            <w:vAlign w:val="bottom"/>
          </w:tcPr>
          <w:p w:rsidR="00A94410" w:rsidRDefault="008E5BB0">
            <w:pPr>
              <w:spacing w:beforeAutospacing="1" w:afterAutospacing="1"/>
            </w:pPr>
            <w:r>
              <w:rPr>
                <w:color w:val="000000"/>
              </w:rPr>
              <w:t>Entire Jurisdiction</w:t>
            </w:r>
          </w:p>
        </w:tc>
      </w:tr>
      <w:tr w:rsidR="00A94410">
        <w:trPr>
          <w:cantSplit/>
        </w:trPr>
        <w:tc>
          <w:tcPr>
            <w:tcW w:w="0" w:type="auto"/>
            <w:vAlign w:val="bottom"/>
          </w:tcPr>
          <w:p w:rsidR="00A94410" w:rsidRDefault="008E5BB0">
            <w:pPr>
              <w:spacing w:beforeAutospacing="1" w:afterAutospacing="1"/>
            </w:pPr>
            <w:r>
              <w:rPr>
                <w:color w:val="000000"/>
              </w:rPr>
              <w:t>Low Income Census Tracts</w:t>
            </w:r>
          </w:p>
        </w:tc>
        <w:tc>
          <w:tcPr>
            <w:tcW w:w="0" w:type="auto"/>
            <w:vAlign w:val="bottom"/>
          </w:tcPr>
          <w:p w:rsidR="00A94410" w:rsidRDefault="008E5BB0">
            <w:pPr>
              <w:spacing w:beforeAutospacing="1" w:afterAutospacing="1"/>
            </w:pPr>
            <w:r>
              <w:rPr>
                <w:color w:val="000000"/>
              </w:rPr>
              <w:t>99</w:t>
            </w:r>
          </w:p>
        </w:tc>
        <w:tc>
          <w:tcPr>
            <w:tcW w:w="0" w:type="auto"/>
            <w:vAlign w:val="bottom"/>
          </w:tcPr>
          <w:p w:rsidR="00A94410" w:rsidRDefault="008E5BB0">
            <w:pPr>
              <w:spacing w:beforeAutospacing="1" w:afterAutospacing="1"/>
            </w:pPr>
            <w:r>
              <w:rPr>
                <w:color w:val="000000"/>
              </w:rPr>
              <w:t>100</w:t>
            </w:r>
          </w:p>
        </w:tc>
        <w:tc>
          <w:tcPr>
            <w:tcW w:w="0" w:type="auto"/>
            <w:vAlign w:val="bottom"/>
          </w:tcPr>
          <w:p w:rsidR="00A94410" w:rsidRDefault="008E5BB0">
            <w:pPr>
              <w:spacing w:beforeAutospacing="1" w:afterAutospacing="1"/>
            </w:pPr>
            <w:r>
              <w:rPr>
                <w:color w:val="000000"/>
              </w:rPr>
              <w:t xml:space="preserve"> </w:t>
            </w:r>
          </w:p>
        </w:tc>
      </w:tr>
    </w:tbl>
    <w:p w:rsidR="00F8120E" w:rsidRDefault="008E5BB0" w:rsidP="00F8120E">
      <w:pPr>
        <w:pStyle w:val="Caption"/>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4</w:t>
      </w:r>
      <w:r w:rsidR="00704603">
        <w:rPr>
          <w:rFonts w:asciiTheme="minorHAnsi" w:hAnsiTheme="minorHAnsi"/>
        </w:rPr>
        <w:fldChar w:fldCharType="end"/>
      </w:r>
      <w:r>
        <w:rPr>
          <w:rFonts w:asciiTheme="minorHAnsi" w:hAnsiTheme="minorHAnsi"/>
        </w:rPr>
        <w:t xml:space="preserve"> – Identify the geographic distribution and location of investments</w:t>
      </w:r>
    </w:p>
    <w:p w:rsidR="00F8120E" w:rsidRDefault="00F8120E" w:rsidP="00F8120E">
      <w:pPr>
        <w:pStyle w:val="Caption"/>
        <w:jc w:val="center"/>
        <w:rPr>
          <w:rFonts w:asciiTheme="minorHAnsi" w:hAnsiTheme="minorHAnsi"/>
        </w:rPr>
      </w:pPr>
    </w:p>
    <w:p w:rsidR="00A94410" w:rsidRDefault="008E5BB0" w:rsidP="00F8120E">
      <w:pPr>
        <w:pStyle w:val="Caption"/>
        <w:rPr>
          <w:sz w:val="24"/>
          <w:szCs w:val="24"/>
        </w:rPr>
      </w:pPr>
      <w:r w:rsidRPr="00F8120E">
        <w:rPr>
          <w:sz w:val="24"/>
          <w:szCs w:val="24"/>
        </w:rPr>
        <w:t>Leveraging</w:t>
      </w:r>
    </w:p>
    <w:p w:rsidR="00F8120E" w:rsidRPr="00F8120E" w:rsidRDefault="00F8120E" w:rsidP="00F8120E"/>
    <w:p w:rsidR="00A94410" w:rsidRDefault="008E5BB0">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A94410" w:rsidRDefault="008E5BB0" w:rsidP="00F8120E">
      <w:pPr>
        <w:widowControl w:val="0"/>
        <w:spacing w:before="100" w:beforeAutospacing="1" w:after="100" w:afterAutospacing="1" w:line="360" w:lineRule="auto"/>
        <w:contextualSpacing/>
        <w:rPr>
          <w:sz w:val="24"/>
          <w:szCs w:val="24"/>
        </w:rPr>
      </w:pPr>
      <w:r>
        <w:rPr>
          <w:sz w:val="24"/>
          <w:szCs w:val="24"/>
        </w:rPr>
        <w:t xml:space="preserve">The City partnered with local agencies such as Hope Southern Indiana, </w:t>
      </w:r>
      <w:proofErr w:type="spellStart"/>
      <w:r>
        <w:rPr>
          <w:sz w:val="24"/>
          <w:szCs w:val="24"/>
        </w:rPr>
        <w:t>LifeSpan</w:t>
      </w:r>
      <w:proofErr w:type="spellEnd"/>
      <w:r>
        <w:rPr>
          <w:sz w:val="24"/>
          <w:szCs w:val="24"/>
        </w:rPr>
        <w:t xml:space="preserve"> Resources, Floyd County Step Ahead Council (YMCA, Open Door Youth Services, &amp; Our Place Drug &amp; Alcohol), and the New Albany Parks Department to offer public services.  These agencies leveraged additional funds at a ratio of $1 to $1 CDBG.   New Directions Housing Corporation leveraged $2.9 to </w:t>
      </w:r>
      <w:r w:rsidR="005B2B00">
        <w:rPr>
          <w:sz w:val="24"/>
          <w:szCs w:val="24"/>
        </w:rPr>
        <w:t xml:space="preserve">$1 of </w:t>
      </w:r>
      <w:r>
        <w:rPr>
          <w:sz w:val="24"/>
          <w:szCs w:val="24"/>
        </w:rPr>
        <w:t xml:space="preserve">CDBG, for the Repair Affair and the Emergency Repair Programs.  These leveraged resources are provided by a variety of organizations including but not limited to the New Albany Housing Authority, United Way, Strong Kids Campaign, and the </w:t>
      </w:r>
      <w:proofErr w:type="spellStart"/>
      <w:r>
        <w:rPr>
          <w:sz w:val="24"/>
          <w:szCs w:val="24"/>
        </w:rPr>
        <w:t>HorseShoe</w:t>
      </w:r>
      <w:proofErr w:type="spellEnd"/>
      <w:r>
        <w:rPr>
          <w:sz w:val="24"/>
          <w:szCs w:val="24"/>
        </w:rPr>
        <w:t xml:space="preserve"> Foundation, local home improvement stores, and in-kind services, etc.   </w:t>
      </w:r>
    </w:p>
    <w:p w:rsidR="00F8120E" w:rsidRDefault="00F8120E" w:rsidP="00F8120E">
      <w:pPr>
        <w:widowControl w:val="0"/>
        <w:spacing w:before="100" w:beforeAutospacing="1" w:after="100" w:afterAutospacing="1" w:line="360" w:lineRule="auto"/>
        <w:contextualSpacing/>
        <w:rPr>
          <w:sz w:val="24"/>
          <w:szCs w:val="24"/>
        </w:rPr>
      </w:pPr>
    </w:p>
    <w:p w:rsidR="00A94410" w:rsidRDefault="008E5BB0" w:rsidP="00F8120E">
      <w:pPr>
        <w:widowControl w:val="0"/>
        <w:spacing w:before="100" w:beforeAutospacing="1" w:after="100" w:afterAutospacing="1" w:line="360" w:lineRule="auto"/>
        <w:contextualSpacing/>
        <w:rPr>
          <w:sz w:val="24"/>
          <w:szCs w:val="24"/>
        </w:rPr>
      </w:pPr>
      <w:r>
        <w:rPr>
          <w:sz w:val="24"/>
          <w:szCs w:val="24"/>
        </w:rPr>
        <w:t>The City donated properties to the Neighborhood Stabilization Program (NSP)</w:t>
      </w:r>
      <w:r w:rsidR="005B2B00">
        <w:rPr>
          <w:sz w:val="24"/>
          <w:szCs w:val="24"/>
        </w:rPr>
        <w:t xml:space="preserve"> Phase 2</w:t>
      </w:r>
      <w:r>
        <w:rPr>
          <w:sz w:val="24"/>
          <w:szCs w:val="24"/>
        </w:rPr>
        <w:t xml:space="preserve">, for the purpose of providing affordable housing units.   The City partnered with several developers in expectation of bringing about neighborhood development through income diversity.  </w:t>
      </w:r>
    </w:p>
    <w:p w:rsidR="00A94410" w:rsidRDefault="008E5BB0" w:rsidP="00F8120E">
      <w:pPr>
        <w:widowControl w:val="0"/>
        <w:spacing w:before="100" w:beforeAutospacing="1" w:after="100" w:afterAutospacing="1" w:line="360" w:lineRule="auto"/>
        <w:contextualSpacing/>
      </w:pPr>
      <w:r>
        <w:rPr>
          <w:sz w:val="24"/>
          <w:szCs w:val="24"/>
        </w:rPr>
        <w:t>The City’s Economic Development Areas (EDA) capture tax increment financing</w:t>
      </w:r>
      <w:r w:rsidR="00B17BA6">
        <w:rPr>
          <w:sz w:val="24"/>
          <w:szCs w:val="24"/>
        </w:rPr>
        <w:t> (</w:t>
      </w:r>
      <w:r>
        <w:rPr>
          <w:sz w:val="24"/>
          <w:szCs w:val="24"/>
        </w:rPr>
        <w:t xml:space="preserve">TIF) that is used for match for Federal Highway infrastructure improvements funded projects through INDOT (i.e., roads, sidewalks, drainage improvements and park facilities) and permits bonds to be issued for projects when needed.  The following projects are underway in various stages:  Mt. Tabor Road, Grant Line Road South &amp; West, Ohio River Greenway, State Street Corridor Signal Modification, </w:t>
      </w:r>
      <w:r w:rsidR="00B17BA6">
        <w:rPr>
          <w:sz w:val="24"/>
          <w:szCs w:val="24"/>
        </w:rPr>
        <w:t>and E</w:t>
      </w:r>
      <w:r>
        <w:rPr>
          <w:sz w:val="24"/>
          <w:szCs w:val="24"/>
        </w:rPr>
        <w:t>. Main Street.  Other local thoroughfare projects are completed with 100% local TIF funding.</w:t>
      </w:r>
      <w:bookmarkStart w:id="1" w:name="_Toc309810475"/>
      <w:r w:rsidR="00F8120E">
        <w:t xml:space="preserve"> </w:t>
      </w:r>
    </w:p>
    <w:p w:rsidR="00A94410" w:rsidRDefault="00A94410">
      <w:pPr>
        <w:sectPr w:rsidR="00A94410">
          <w:pgSz w:w="12240" w:h="15840" w:code="1"/>
          <w:pgMar w:top="1440" w:right="1440" w:bottom="1440" w:left="1440" w:header="720" w:footer="720" w:gutter="0"/>
          <w:cols w:space="720"/>
          <w:docGrid w:linePitch="360"/>
        </w:sectPr>
      </w:pPr>
    </w:p>
    <w:p w:rsidR="00A94410" w:rsidRDefault="008E5BB0">
      <w:pPr>
        <w:pStyle w:val="Heading2"/>
        <w:rPr>
          <w:rFonts w:ascii="Calibri" w:hAnsi="Calibri"/>
          <w:i w:val="0"/>
        </w:rPr>
      </w:pPr>
      <w:r>
        <w:rPr>
          <w:rFonts w:ascii="Calibri" w:hAnsi="Calibri"/>
          <w:i w:val="0"/>
        </w:rPr>
        <w:lastRenderedPageBreak/>
        <w:t>CR-20 - Affordable Housing 91.520(b)</w:t>
      </w:r>
    </w:p>
    <w:p w:rsidR="00A94410" w:rsidRDefault="008E5BB0">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A94410" w:rsidRDefault="00A94410">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293"/>
        <w:gridCol w:w="2648"/>
        <w:gridCol w:w="2649"/>
      </w:tblGrid>
      <w:tr w:rsidR="00A94410">
        <w:trPr>
          <w:cantSplit/>
          <w:tblHeader/>
        </w:trPr>
        <w:tc>
          <w:tcPr>
            <w:tcW w:w="4293" w:type="dxa"/>
          </w:tcPr>
          <w:p w:rsidR="00A94410" w:rsidRDefault="00A94410">
            <w:pPr>
              <w:pStyle w:val="Caption"/>
              <w:keepNext/>
              <w:widowControl w:val="0"/>
              <w:jc w:val="center"/>
              <w:rPr>
                <w:rFonts w:ascii="Calibri" w:hAnsi="Calibri"/>
                <w:sz w:val="22"/>
                <w:szCs w:val="22"/>
              </w:rPr>
            </w:pPr>
          </w:p>
        </w:tc>
        <w:tc>
          <w:tcPr>
            <w:tcW w:w="2648" w:type="dxa"/>
          </w:tcPr>
          <w:p w:rsidR="00A94410" w:rsidRDefault="008E5BB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A94410" w:rsidRDefault="008E5BB0">
            <w:pPr>
              <w:pStyle w:val="Caption"/>
              <w:keepNext/>
              <w:widowControl w:val="0"/>
              <w:jc w:val="center"/>
              <w:rPr>
                <w:rFonts w:ascii="Calibri" w:hAnsi="Calibri"/>
                <w:sz w:val="22"/>
                <w:szCs w:val="22"/>
              </w:rPr>
            </w:pPr>
            <w:r>
              <w:rPr>
                <w:rFonts w:ascii="Calibri" w:hAnsi="Calibri"/>
                <w:sz w:val="22"/>
                <w:szCs w:val="22"/>
              </w:rPr>
              <w:t>Actual</w:t>
            </w:r>
          </w:p>
        </w:tc>
      </w:tr>
      <w:tr w:rsidR="00A94410">
        <w:trPr>
          <w:cantSplit/>
        </w:trPr>
        <w:tc>
          <w:tcPr>
            <w:tcW w:w="4293" w:type="dxa"/>
            <w:vAlign w:val="bottom"/>
          </w:tcPr>
          <w:p w:rsidR="00A94410" w:rsidRDefault="008E5BB0">
            <w:pPr>
              <w:spacing w:beforeAutospacing="1" w:afterAutospacing="1"/>
            </w:pPr>
            <w:r>
              <w:rPr>
                <w:color w:val="000000"/>
              </w:rPr>
              <w:t>Number of Homeless households to be provided affordable housing units</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0</w:t>
            </w:r>
          </w:p>
        </w:tc>
      </w:tr>
      <w:tr w:rsidR="00A94410">
        <w:trPr>
          <w:cantSplit/>
        </w:trPr>
        <w:tc>
          <w:tcPr>
            <w:tcW w:w="4293" w:type="dxa"/>
            <w:vAlign w:val="bottom"/>
          </w:tcPr>
          <w:p w:rsidR="00A94410" w:rsidRDefault="008E5BB0">
            <w:pPr>
              <w:spacing w:beforeAutospacing="1" w:afterAutospacing="1"/>
            </w:pPr>
            <w:r>
              <w:rPr>
                <w:color w:val="000000"/>
              </w:rPr>
              <w:t>Number of Non-Homeless households to be provided affordable housing units</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0</w:t>
            </w:r>
          </w:p>
        </w:tc>
      </w:tr>
      <w:tr w:rsidR="00A94410">
        <w:trPr>
          <w:cantSplit/>
        </w:trPr>
        <w:tc>
          <w:tcPr>
            <w:tcW w:w="4293" w:type="dxa"/>
            <w:vAlign w:val="bottom"/>
          </w:tcPr>
          <w:p w:rsidR="00A94410" w:rsidRDefault="008E5BB0">
            <w:pPr>
              <w:spacing w:beforeAutospacing="1" w:afterAutospacing="1"/>
            </w:pPr>
            <w:r>
              <w:rPr>
                <w:color w:val="000000"/>
              </w:rPr>
              <w:t>Number of Special-Needs households to be provided affordable housing units</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0</w:t>
            </w:r>
          </w:p>
        </w:tc>
      </w:tr>
      <w:tr w:rsidR="00A94410">
        <w:trPr>
          <w:cantSplit/>
        </w:trPr>
        <w:tc>
          <w:tcPr>
            <w:tcW w:w="4293" w:type="dxa"/>
          </w:tcPr>
          <w:p w:rsidR="00A94410" w:rsidRDefault="008E5BB0">
            <w:pPr>
              <w:spacing w:beforeAutospacing="1" w:afterAutospacing="1"/>
            </w:pPr>
            <w:r>
              <w:rPr>
                <w:b/>
                <w:color w:val="000000"/>
              </w:rPr>
              <w:t>Total</w:t>
            </w:r>
          </w:p>
        </w:tc>
        <w:tc>
          <w:tcPr>
            <w:tcW w:w="2648" w:type="dxa"/>
            <w:vAlign w:val="bottom"/>
          </w:tcPr>
          <w:p w:rsidR="00A94410" w:rsidRDefault="008E5BB0">
            <w:pPr>
              <w:spacing w:beforeAutospacing="1" w:afterAutospacing="1"/>
              <w:jc w:val="right"/>
            </w:pPr>
            <w:r>
              <w:rPr>
                <w:b/>
                <w:color w:val="000000"/>
              </w:rPr>
              <w:t>0</w:t>
            </w:r>
          </w:p>
        </w:tc>
        <w:tc>
          <w:tcPr>
            <w:tcW w:w="2649" w:type="dxa"/>
            <w:vAlign w:val="bottom"/>
          </w:tcPr>
          <w:p w:rsidR="00A94410" w:rsidRDefault="008E5BB0">
            <w:pPr>
              <w:spacing w:beforeAutospacing="1" w:afterAutospacing="1"/>
              <w:jc w:val="right"/>
            </w:pPr>
            <w:r>
              <w:rPr>
                <w:b/>
                <w:color w:val="000000"/>
              </w:rPr>
              <w:t>0</w:t>
            </w:r>
          </w:p>
        </w:tc>
      </w:tr>
    </w:tbl>
    <w:p w:rsidR="00A94410" w:rsidRDefault="008E5BB0">
      <w:pPr>
        <w:pStyle w:val="Caption"/>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5</w:t>
      </w:r>
      <w:r w:rsidR="00704603">
        <w:rPr>
          <w:rFonts w:asciiTheme="minorHAnsi" w:hAnsiTheme="minorHAnsi"/>
        </w:rPr>
        <w:fldChar w:fldCharType="end"/>
      </w:r>
      <w:r>
        <w:rPr>
          <w:rFonts w:asciiTheme="minorHAnsi" w:hAnsiTheme="minorHAnsi"/>
        </w:rPr>
        <w:t xml:space="preserve"> – Number of Households</w:t>
      </w:r>
    </w:p>
    <w:p w:rsidR="00A94410" w:rsidRDefault="00A94410"/>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293"/>
        <w:gridCol w:w="2648"/>
        <w:gridCol w:w="2649"/>
      </w:tblGrid>
      <w:tr w:rsidR="00A94410">
        <w:trPr>
          <w:cantSplit/>
          <w:tblHeader/>
        </w:trPr>
        <w:tc>
          <w:tcPr>
            <w:tcW w:w="4293" w:type="dxa"/>
          </w:tcPr>
          <w:p w:rsidR="00A94410" w:rsidRDefault="00A94410">
            <w:pPr>
              <w:pStyle w:val="Caption"/>
              <w:keepNext/>
              <w:widowControl w:val="0"/>
              <w:jc w:val="center"/>
              <w:rPr>
                <w:rFonts w:ascii="Calibri" w:hAnsi="Calibri"/>
                <w:sz w:val="22"/>
                <w:szCs w:val="22"/>
              </w:rPr>
            </w:pPr>
          </w:p>
        </w:tc>
        <w:tc>
          <w:tcPr>
            <w:tcW w:w="2648" w:type="dxa"/>
          </w:tcPr>
          <w:p w:rsidR="00A94410" w:rsidRDefault="008E5BB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A94410" w:rsidRDefault="008E5BB0">
            <w:pPr>
              <w:pStyle w:val="Caption"/>
              <w:keepNext/>
              <w:widowControl w:val="0"/>
              <w:jc w:val="center"/>
              <w:rPr>
                <w:rFonts w:ascii="Calibri" w:hAnsi="Calibri"/>
                <w:sz w:val="22"/>
                <w:szCs w:val="22"/>
              </w:rPr>
            </w:pPr>
            <w:r>
              <w:rPr>
                <w:rFonts w:ascii="Calibri" w:hAnsi="Calibri"/>
                <w:sz w:val="22"/>
                <w:szCs w:val="22"/>
              </w:rPr>
              <w:t>Actual</w:t>
            </w:r>
          </w:p>
        </w:tc>
      </w:tr>
      <w:tr w:rsidR="00A94410">
        <w:trPr>
          <w:cantSplit/>
        </w:trPr>
        <w:tc>
          <w:tcPr>
            <w:tcW w:w="4293" w:type="dxa"/>
            <w:vAlign w:val="bottom"/>
          </w:tcPr>
          <w:p w:rsidR="00A94410" w:rsidRDefault="008E5BB0">
            <w:pPr>
              <w:spacing w:beforeAutospacing="1" w:afterAutospacing="1"/>
            </w:pPr>
            <w:r>
              <w:rPr>
                <w:color w:val="000000"/>
              </w:rPr>
              <w:t>Number of households supported through Rental Assistance</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0</w:t>
            </w:r>
          </w:p>
        </w:tc>
      </w:tr>
      <w:tr w:rsidR="00A94410">
        <w:trPr>
          <w:cantSplit/>
        </w:trPr>
        <w:tc>
          <w:tcPr>
            <w:tcW w:w="4293" w:type="dxa"/>
            <w:vAlign w:val="bottom"/>
          </w:tcPr>
          <w:p w:rsidR="00A94410" w:rsidRDefault="008E5BB0">
            <w:pPr>
              <w:spacing w:beforeAutospacing="1" w:afterAutospacing="1"/>
            </w:pPr>
            <w:r>
              <w:rPr>
                <w:color w:val="000000"/>
              </w:rPr>
              <w:t>Number of households supported through The Production of New Units</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2</w:t>
            </w:r>
            <w:r w:rsidR="00CF44B5">
              <w:rPr>
                <w:color w:val="000000"/>
              </w:rPr>
              <w:t xml:space="preserve"> NSP</w:t>
            </w:r>
          </w:p>
        </w:tc>
      </w:tr>
      <w:tr w:rsidR="00A94410">
        <w:trPr>
          <w:cantSplit/>
        </w:trPr>
        <w:tc>
          <w:tcPr>
            <w:tcW w:w="4293" w:type="dxa"/>
            <w:vAlign w:val="bottom"/>
          </w:tcPr>
          <w:p w:rsidR="00A94410" w:rsidRDefault="008E5BB0">
            <w:pPr>
              <w:spacing w:beforeAutospacing="1" w:afterAutospacing="1"/>
            </w:pPr>
            <w:r>
              <w:rPr>
                <w:color w:val="000000"/>
              </w:rPr>
              <w:t>Number of households supported through Rehab of Existing Units</w:t>
            </w:r>
          </w:p>
        </w:tc>
        <w:tc>
          <w:tcPr>
            <w:tcW w:w="2648" w:type="dxa"/>
            <w:vAlign w:val="bottom"/>
          </w:tcPr>
          <w:p w:rsidR="00A94410" w:rsidRDefault="008E5BB0">
            <w:pPr>
              <w:spacing w:beforeAutospacing="1" w:afterAutospacing="1"/>
              <w:jc w:val="right"/>
            </w:pPr>
            <w:r>
              <w:rPr>
                <w:color w:val="000000"/>
              </w:rPr>
              <w:t>30</w:t>
            </w:r>
          </w:p>
        </w:tc>
        <w:tc>
          <w:tcPr>
            <w:tcW w:w="2649" w:type="dxa"/>
            <w:vAlign w:val="bottom"/>
          </w:tcPr>
          <w:p w:rsidR="00A94410" w:rsidRDefault="008E5BB0">
            <w:pPr>
              <w:spacing w:beforeAutospacing="1" w:afterAutospacing="1"/>
              <w:jc w:val="right"/>
            </w:pPr>
            <w:r>
              <w:rPr>
                <w:color w:val="000000"/>
              </w:rPr>
              <w:t>14</w:t>
            </w:r>
          </w:p>
        </w:tc>
      </w:tr>
      <w:tr w:rsidR="00A94410">
        <w:trPr>
          <w:cantSplit/>
        </w:trPr>
        <w:tc>
          <w:tcPr>
            <w:tcW w:w="4293" w:type="dxa"/>
            <w:vAlign w:val="bottom"/>
          </w:tcPr>
          <w:p w:rsidR="00A94410" w:rsidRDefault="008E5BB0">
            <w:pPr>
              <w:spacing w:beforeAutospacing="1" w:afterAutospacing="1"/>
            </w:pPr>
            <w:r>
              <w:rPr>
                <w:color w:val="000000"/>
              </w:rPr>
              <w:t>Number of households supported through Acquisition of Existing Units</w:t>
            </w:r>
          </w:p>
        </w:tc>
        <w:tc>
          <w:tcPr>
            <w:tcW w:w="2648" w:type="dxa"/>
            <w:vAlign w:val="bottom"/>
          </w:tcPr>
          <w:p w:rsidR="00A94410" w:rsidRDefault="008E5BB0">
            <w:pPr>
              <w:spacing w:beforeAutospacing="1" w:afterAutospacing="1"/>
              <w:jc w:val="right"/>
            </w:pPr>
            <w:r>
              <w:rPr>
                <w:color w:val="000000"/>
              </w:rPr>
              <w:t>0</w:t>
            </w:r>
          </w:p>
        </w:tc>
        <w:tc>
          <w:tcPr>
            <w:tcW w:w="2649" w:type="dxa"/>
            <w:vAlign w:val="bottom"/>
          </w:tcPr>
          <w:p w:rsidR="00A94410" w:rsidRDefault="008E5BB0">
            <w:pPr>
              <w:spacing w:beforeAutospacing="1" w:afterAutospacing="1"/>
              <w:jc w:val="right"/>
            </w:pPr>
            <w:r>
              <w:rPr>
                <w:color w:val="000000"/>
              </w:rPr>
              <w:t>0</w:t>
            </w:r>
          </w:p>
        </w:tc>
      </w:tr>
      <w:tr w:rsidR="00A94410">
        <w:trPr>
          <w:cantSplit/>
        </w:trPr>
        <w:tc>
          <w:tcPr>
            <w:tcW w:w="4293" w:type="dxa"/>
          </w:tcPr>
          <w:p w:rsidR="00A94410" w:rsidRDefault="008E5BB0">
            <w:pPr>
              <w:spacing w:beforeAutospacing="1" w:afterAutospacing="1"/>
            </w:pPr>
            <w:r>
              <w:rPr>
                <w:b/>
                <w:color w:val="000000"/>
              </w:rPr>
              <w:t>Total</w:t>
            </w:r>
          </w:p>
        </w:tc>
        <w:tc>
          <w:tcPr>
            <w:tcW w:w="2648" w:type="dxa"/>
            <w:vAlign w:val="bottom"/>
          </w:tcPr>
          <w:p w:rsidR="00A94410" w:rsidRDefault="008E5BB0">
            <w:pPr>
              <w:spacing w:beforeAutospacing="1" w:afterAutospacing="1"/>
              <w:jc w:val="right"/>
            </w:pPr>
            <w:r>
              <w:rPr>
                <w:b/>
                <w:color w:val="000000"/>
              </w:rPr>
              <w:t>30</w:t>
            </w:r>
          </w:p>
        </w:tc>
        <w:tc>
          <w:tcPr>
            <w:tcW w:w="2649" w:type="dxa"/>
            <w:vAlign w:val="bottom"/>
          </w:tcPr>
          <w:p w:rsidR="00A94410" w:rsidRDefault="008E5BB0">
            <w:pPr>
              <w:spacing w:beforeAutospacing="1" w:afterAutospacing="1"/>
              <w:jc w:val="right"/>
            </w:pPr>
            <w:r>
              <w:rPr>
                <w:b/>
                <w:color w:val="000000"/>
              </w:rPr>
              <w:t>16</w:t>
            </w:r>
          </w:p>
        </w:tc>
      </w:tr>
    </w:tbl>
    <w:p w:rsidR="00A94410" w:rsidRDefault="008E5BB0">
      <w:pPr>
        <w:pStyle w:val="Caption"/>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6</w:t>
      </w:r>
      <w:r w:rsidR="00704603">
        <w:rPr>
          <w:rFonts w:asciiTheme="minorHAnsi" w:hAnsiTheme="minorHAnsi"/>
        </w:rPr>
        <w:fldChar w:fldCharType="end"/>
      </w:r>
      <w:r>
        <w:rPr>
          <w:rFonts w:asciiTheme="minorHAnsi" w:hAnsiTheme="minorHAnsi"/>
        </w:rPr>
        <w:t xml:space="preserve"> – Number of Households Supported</w:t>
      </w:r>
    </w:p>
    <w:p w:rsidR="00A94410" w:rsidRDefault="00A94410">
      <w:pPr>
        <w:rPr>
          <w:rFonts w:cs="Arial"/>
        </w:rPr>
      </w:pPr>
    </w:p>
    <w:p w:rsidR="00A94410" w:rsidRDefault="008E5BB0" w:rsidP="00481401">
      <w:pPr>
        <w:widowControl w:val="0"/>
        <w:spacing w:line="360" w:lineRule="auto"/>
        <w:contextualSpacing/>
        <w:rPr>
          <w:b/>
          <w:sz w:val="24"/>
          <w:szCs w:val="24"/>
        </w:rPr>
      </w:pPr>
      <w:r>
        <w:rPr>
          <w:b/>
          <w:sz w:val="24"/>
          <w:szCs w:val="24"/>
        </w:rPr>
        <w:t>Discuss the difference between goals and outcomes and problems encountered in meeting these goals.</w:t>
      </w:r>
    </w:p>
    <w:p w:rsidR="00A94410" w:rsidRDefault="008E5BB0" w:rsidP="00F8120E">
      <w:pPr>
        <w:spacing w:line="360" w:lineRule="auto"/>
        <w:rPr>
          <w:rFonts w:cs="Arial"/>
        </w:rPr>
      </w:pPr>
      <w:r>
        <w:rPr>
          <w:rFonts w:cs="Arial"/>
        </w:rPr>
        <w:t xml:space="preserve">Home rehabilitation/repairs </w:t>
      </w:r>
      <w:r w:rsidR="00B17BA6">
        <w:rPr>
          <w:rFonts w:cs="Arial"/>
        </w:rPr>
        <w:t>were</w:t>
      </w:r>
      <w:r>
        <w:rPr>
          <w:rFonts w:cs="Arial"/>
        </w:rPr>
        <w:t xml:space="preserve"> an important objective for the City of New Albany.  The City expected to compete 30, through a partnership with New Directions Housing Corporation.  However, due to the Coronavirus restrictions these two programs were suspended during much of the second half of the program year.  Fourteen housing units were able to be successfully completed through the Emergency Repair and Repair Affair Programs.  The NSP Proceeds </w:t>
      </w:r>
      <w:r w:rsidR="00B17BA6">
        <w:rPr>
          <w:rFonts w:cs="Arial"/>
        </w:rPr>
        <w:t>Program completed</w:t>
      </w:r>
      <w:r>
        <w:rPr>
          <w:rFonts w:cs="Arial"/>
        </w:rPr>
        <w:t xml:space="preserve"> and sold two newly constructed affordable housing units.  </w:t>
      </w:r>
      <w:r w:rsidR="00296188">
        <w:rPr>
          <w:rFonts w:cs="Arial"/>
        </w:rPr>
        <w:t>Due to the COVID a</w:t>
      </w:r>
      <w:r>
        <w:rPr>
          <w:rFonts w:cs="Arial"/>
        </w:rPr>
        <w:t xml:space="preserve"> Fair Housing informational session was conducted for the Building </w:t>
      </w:r>
      <w:r w:rsidR="00B17BA6">
        <w:rPr>
          <w:rFonts w:cs="Arial"/>
        </w:rPr>
        <w:t>Department</w:t>
      </w:r>
      <w:r>
        <w:rPr>
          <w:rFonts w:cs="Arial"/>
        </w:rPr>
        <w:t xml:space="preserve"> staff</w:t>
      </w:r>
      <w:r w:rsidR="00296188">
        <w:rPr>
          <w:rFonts w:cs="Arial"/>
        </w:rPr>
        <w:t xml:space="preserve"> instead of a public forum</w:t>
      </w:r>
      <w:r>
        <w:rPr>
          <w:rFonts w:cs="Arial"/>
        </w:rPr>
        <w:t xml:space="preserve">.  Rental assistance is supported through four tax credit properties currently that serve low-income residents including the elderly in the </w:t>
      </w:r>
      <w:r>
        <w:rPr>
          <w:rFonts w:cs="Arial"/>
        </w:rPr>
        <w:lastRenderedPageBreak/>
        <w:t xml:space="preserve">City of New Albany.  St. Edward Court has 50 units set aside for low-income residents.  Valley Ridge Apartments has an additional 95 units set aside </w:t>
      </w:r>
      <w:proofErr w:type="spellStart"/>
      <w:r>
        <w:rPr>
          <w:rFonts w:cs="Arial"/>
        </w:rPr>
        <w:t>Brookview</w:t>
      </w:r>
      <w:proofErr w:type="spellEnd"/>
      <w:r>
        <w:rPr>
          <w:rFonts w:cs="Arial"/>
        </w:rPr>
        <w:t xml:space="preserve"> Glen Apartments has 66 affordable senior housing units with 3 units set aside for transient housing for the homeless. Hellenic Senior </w:t>
      </w:r>
      <w:r w:rsidR="00B17BA6">
        <w:rPr>
          <w:rFonts w:cs="Arial"/>
        </w:rPr>
        <w:t>Living</w:t>
      </w:r>
      <w:r>
        <w:rPr>
          <w:rFonts w:cs="Arial"/>
        </w:rPr>
        <w:t> has 125 units in the City of New Albany specific to serve lower income seniors. </w:t>
      </w:r>
    </w:p>
    <w:p w:rsidR="00A94410" w:rsidRDefault="008E5BB0" w:rsidP="00F8120E">
      <w:pPr>
        <w:widowControl w:val="0"/>
        <w:spacing w:line="360" w:lineRule="auto"/>
        <w:rPr>
          <w:b/>
          <w:sz w:val="24"/>
          <w:szCs w:val="24"/>
        </w:rPr>
      </w:pPr>
      <w:r>
        <w:rPr>
          <w:b/>
          <w:sz w:val="24"/>
          <w:szCs w:val="24"/>
        </w:rPr>
        <w:t>Discuss how these outcomes will impact future annual action plans.</w:t>
      </w:r>
    </w:p>
    <w:p w:rsidR="00A94410" w:rsidRDefault="008E5BB0" w:rsidP="00F8120E">
      <w:pPr>
        <w:spacing w:line="360" w:lineRule="auto"/>
        <w:rPr>
          <w:rFonts w:cs="Arial"/>
        </w:rPr>
      </w:pPr>
      <w:r>
        <w:rPr>
          <w:rFonts w:cs="Arial"/>
        </w:rPr>
        <w:t xml:space="preserve">The Emergency Repair Program, the Repair Affair Program, and the Neighborhood Stabilization Program have proved to be successful in serving low-and moderate-income homeowners for many years.  More specifically the elderly and disabled residents of the City have </w:t>
      </w:r>
      <w:proofErr w:type="spellStart"/>
      <w:r>
        <w:rPr>
          <w:rFonts w:cs="Arial"/>
        </w:rPr>
        <w:t>benifited</w:t>
      </w:r>
      <w:proofErr w:type="spellEnd"/>
      <w:r>
        <w:rPr>
          <w:rFonts w:cs="Arial"/>
        </w:rPr>
        <w:t>.  The City will continue to fund these program</w:t>
      </w:r>
      <w:r w:rsidR="00B17BA6">
        <w:rPr>
          <w:rFonts w:cs="Arial"/>
        </w:rPr>
        <w:t>s</w:t>
      </w:r>
      <w:r>
        <w:rPr>
          <w:rFonts w:cs="Arial"/>
        </w:rPr>
        <w:t xml:space="preserve"> into our next Consolidated Plan.  The City will also continue </w:t>
      </w:r>
      <w:proofErr w:type="spellStart"/>
      <w:r>
        <w:rPr>
          <w:rFonts w:cs="Arial"/>
        </w:rPr>
        <w:t>it’s</w:t>
      </w:r>
      <w:proofErr w:type="spellEnd"/>
      <w:r>
        <w:rPr>
          <w:rFonts w:cs="Arial"/>
        </w:rPr>
        <w:t xml:space="preserve"> partnership with Habitat for Humanity and the NSP when properties become available.</w:t>
      </w:r>
    </w:p>
    <w:p w:rsidR="00A94410" w:rsidRDefault="008E5BB0">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A94410" w:rsidRDefault="00A94410">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081"/>
        <w:gridCol w:w="1859"/>
        <w:gridCol w:w="1890"/>
        <w:gridCol w:w="25"/>
      </w:tblGrid>
      <w:tr w:rsidR="00A94410">
        <w:trPr>
          <w:cantSplit/>
        </w:trPr>
        <w:tc>
          <w:tcPr>
            <w:tcW w:w="4081" w:type="dxa"/>
          </w:tcPr>
          <w:p w:rsidR="00A94410" w:rsidRDefault="008E5BB0">
            <w:pPr>
              <w:keepNext/>
              <w:widowControl w:val="0"/>
              <w:spacing w:after="0" w:line="240" w:lineRule="auto"/>
              <w:jc w:val="center"/>
              <w:rPr>
                <w:b/>
              </w:rPr>
            </w:pPr>
            <w:r>
              <w:rPr>
                <w:b/>
              </w:rPr>
              <w:t>Number  of Households Served</w:t>
            </w:r>
          </w:p>
        </w:tc>
        <w:tc>
          <w:tcPr>
            <w:tcW w:w="1859" w:type="dxa"/>
          </w:tcPr>
          <w:p w:rsidR="00A94410" w:rsidRDefault="008E5BB0">
            <w:pPr>
              <w:keepNext/>
              <w:widowControl w:val="0"/>
              <w:spacing w:after="0" w:line="240" w:lineRule="auto"/>
              <w:jc w:val="center"/>
              <w:rPr>
                <w:b/>
              </w:rPr>
            </w:pPr>
            <w:r>
              <w:rPr>
                <w:b/>
              </w:rPr>
              <w:t>CDBG Actual</w:t>
            </w:r>
          </w:p>
        </w:tc>
        <w:tc>
          <w:tcPr>
            <w:tcW w:w="1915" w:type="dxa"/>
            <w:gridSpan w:val="2"/>
          </w:tcPr>
          <w:p w:rsidR="00A94410" w:rsidRDefault="008E5BB0">
            <w:pPr>
              <w:keepNext/>
              <w:widowControl w:val="0"/>
              <w:spacing w:after="0" w:line="240" w:lineRule="auto"/>
              <w:jc w:val="center"/>
              <w:rPr>
                <w:b/>
              </w:rPr>
            </w:pPr>
            <w:r>
              <w:rPr>
                <w:b/>
              </w:rPr>
              <w:t>HOME Actual</w:t>
            </w:r>
          </w:p>
        </w:tc>
      </w:tr>
      <w:tr w:rsidR="00A94410">
        <w:trPr>
          <w:gridAfter w:val="1"/>
          <w:wAfter w:w="25" w:type="dxa"/>
          <w:cantSplit/>
        </w:trPr>
        <w:tc>
          <w:tcPr>
            <w:tcW w:w="4081" w:type="dxa"/>
            <w:vAlign w:val="bottom"/>
          </w:tcPr>
          <w:p w:rsidR="00A94410" w:rsidRDefault="008E5BB0">
            <w:pPr>
              <w:spacing w:beforeAutospacing="1" w:afterAutospacing="1"/>
            </w:pPr>
            <w:r>
              <w:rPr>
                <w:color w:val="000000"/>
              </w:rPr>
              <w:t>Extremely Low-income</w:t>
            </w:r>
          </w:p>
        </w:tc>
        <w:tc>
          <w:tcPr>
            <w:tcW w:w="1859" w:type="dxa"/>
            <w:vAlign w:val="bottom"/>
          </w:tcPr>
          <w:p w:rsidR="00A94410" w:rsidRDefault="008E5BB0">
            <w:pPr>
              <w:spacing w:beforeAutospacing="1" w:afterAutospacing="1"/>
              <w:jc w:val="right"/>
            </w:pPr>
            <w:r>
              <w:rPr>
                <w:color w:val="000000"/>
              </w:rPr>
              <w:t>3</w:t>
            </w:r>
          </w:p>
        </w:tc>
        <w:tc>
          <w:tcPr>
            <w:tcW w:w="1890" w:type="dxa"/>
            <w:vAlign w:val="bottom"/>
          </w:tcPr>
          <w:p w:rsidR="00A94410" w:rsidRDefault="008E5BB0">
            <w:pPr>
              <w:spacing w:beforeAutospacing="1" w:afterAutospacing="1"/>
              <w:jc w:val="right"/>
            </w:pPr>
            <w:r>
              <w:rPr>
                <w:color w:val="000000"/>
              </w:rPr>
              <w:t>0</w:t>
            </w:r>
          </w:p>
        </w:tc>
      </w:tr>
      <w:tr w:rsidR="00A94410">
        <w:trPr>
          <w:gridAfter w:val="1"/>
          <w:wAfter w:w="25" w:type="dxa"/>
          <w:cantSplit/>
        </w:trPr>
        <w:tc>
          <w:tcPr>
            <w:tcW w:w="4081" w:type="dxa"/>
            <w:vAlign w:val="bottom"/>
          </w:tcPr>
          <w:p w:rsidR="00A94410" w:rsidRDefault="008E5BB0">
            <w:pPr>
              <w:spacing w:beforeAutospacing="1" w:afterAutospacing="1"/>
            </w:pPr>
            <w:r>
              <w:rPr>
                <w:color w:val="000000"/>
              </w:rPr>
              <w:t>Low-income</w:t>
            </w:r>
          </w:p>
        </w:tc>
        <w:tc>
          <w:tcPr>
            <w:tcW w:w="1859" w:type="dxa"/>
            <w:vAlign w:val="bottom"/>
          </w:tcPr>
          <w:p w:rsidR="00A94410" w:rsidRDefault="008E5BB0">
            <w:pPr>
              <w:spacing w:beforeAutospacing="1" w:afterAutospacing="1"/>
              <w:jc w:val="right"/>
            </w:pPr>
            <w:r>
              <w:rPr>
                <w:color w:val="000000"/>
              </w:rPr>
              <w:t>6</w:t>
            </w:r>
          </w:p>
        </w:tc>
        <w:tc>
          <w:tcPr>
            <w:tcW w:w="1890" w:type="dxa"/>
            <w:vAlign w:val="bottom"/>
          </w:tcPr>
          <w:p w:rsidR="00A94410" w:rsidRDefault="008E5BB0">
            <w:pPr>
              <w:spacing w:beforeAutospacing="1" w:afterAutospacing="1"/>
              <w:jc w:val="right"/>
            </w:pPr>
            <w:r>
              <w:rPr>
                <w:color w:val="000000"/>
              </w:rPr>
              <w:t>0</w:t>
            </w:r>
          </w:p>
        </w:tc>
      </w:tr>
      <w:tr w:rsidR="00A94410">
        <w:trPr>
          <w:gridAfter w:val="1"/>
          <w:wAfter w:w="25" w:type="dxa"/>
          <w:cantSplit/>
        </w:trPr>
        <w:tc>
          <w:tcPr>
            <w:tcW w:w="4081" w:type="dxa"/>
            <w:vAlign w:val="bottom"/>
          </w:tcPr>
          <w:p w:rsidR="00A94410" w:rsidRDefault="008E5BB0">
            <w:pPr>
              <w:spacing w:beforeAutospacing="1" w:afterAutospacing="1"/>
            </w:pPr>
            <w:r>
              <w:rPr>
                <w:color w:val="000000"/>
              </w:rPr>
              <w:t>Moderate-income</w:t>
            </w:r>
          </w:p>
        </w:tc>
        <w:tc>
          <w:tcPr>
            <w:tcW w:w="1859" w:type="dxa"/>
            <w:vAlign w:val="bottom"/>
          </w:tcPr>
          <w:p w:rsidR="00A94410" w:rsidRDefault="008E5BB0">
            <w:pPr>
              <w:spacing w:beforeAutospacing="1" w:afterAutospacing="1"/>
              <w:jc w:val="right"/>
            </w:pPr>
            <w:r>
              <w:rPr>
                <w:color w:val="000000"/>
              </w:rPr>
              <w:t>5</w:t>
            </w:r>
          </w:p>
        </w:tc>
        <w:tc>
          <w:tcPr>
            <w:tcW w:w="1890" w:type="dxa"/>
            <w:vAlign w:val="bottom"/>
          </w:tcPr>
          <w:p w:rsidR="00A94410" w:rsidRDefault="008E5BB0">
            <w:pPr>
              <w:spacing w:beforeAutospacing="1" w:afterAutospacing="1"/>
              <w:jc w:val="right"/>
            </w:pPr>
            <w:r>
              <w:rPr>
                <w:color w:val="000000"/>
              </w:rPr>
              <w:t>0</w:t>
            </w:r>
          </w:p>
        </w:tc>
      </w:tr>
      <w:tr w:rsidR="00A94410">
        <w:trPr>
          <w:gridAfter w:val="1"/>
          <w:wAfter w:w="25" w:type="dxa"/>
          <w:cantSplit/>
        </w:trPr>
        <w:tc>
          <w:tcPr>
            <w:tcW w:w="4081" w:type="dxa"/>
            <w:vAlign w:val="bottom"/>
          </w:tcPr>
          <w:p w:rsidR="00A94410" w:rsidRDefault="008E5BB0">
            <w:pPr>
              <w:spacing w:beforeAutospacing="1" w:afterAutospacing="1"/>
            </w:pPr>
            <w:r>
              <w:rPr>
                <w:b/>
                <w:color w:val="000000"/>
              </w:rPr>
              <w:t>Total</w:t>
            </w:r>
          </w:p>
        </w:tc>
        <w:tc>
          <w:tcPr>
            <w:tcW w:w="1859" w:type="dxa"/>
            <w:vAlign w:val="bottom"/>
          </w:tcPr>
          <w:p w:rsidR="00A94410" w:rsidRDefault="008E5BB0">
            <w:pPr>
              <w:spacing w:beforeAutospacing="1" w:afterAutospacing="1"/>
              <w:jc w:val="right"/>
            </w:pPr>
            <w:r>
              <w:rPr>
                <w:b/>
                <w:color w:val="000000"/>
              </w:rPr>
              <w:t>14</w:t>
            </w:r>
          </w:p>
        </w:tc>
        <w:tc>
          <w:tcPr>
            <w:tcW w:w="1890" w:type="dxa"/>
            <w:vAlign w:val="bottom"/>
          </w:tcPr>
          <w:p w:rsidR="00A94410" w:rsidRDefault="008E5BB0">
            <w:pPr>
              <w:spacing w:beforeAutospacing="1" w:afterAutospacing="1"/>
              <w:jc w:val="right"/>
            </w:pPr>
            <w:r>
              <w:rPr>
                <w:b/>
                <w:color w:val="000000"/>
              </w:rPr>
              <w:t>0</w:t>
            </w:r>
          </w:p>
        </w:tc>
      </w:tr>
    </w:tbl>
    <w:p w:rsidR="00A94410" w:rsidRDefault="008E5BB0">
      <w:pPr>
        <w:pStyle w:val="Caption"/>
        <w:jc w:val="center"/>
        <w:rPr>
          <w:rFonts w:asciiTheme="minorHAnsi" w:hAnsiTheme="minorHAnsi"/>
        </w:rPr>
      </w:pPr>
      <w:r>
        <w:rPr>
          <w:rFonts w:asciiTheme="minorHAnsi" w:hAnsiTheme="minorHAnsi"/>
        </w:rPr>
        <w:t xml:space="preserve">Table </w:t>
      </w:r>
      <w:r w:rsidR="00704603">
        <w:rPr>
          <w:rFonts w:asciiTheme="minorHAnsi" w:hAnsiTheme="minorHAnsi"/>
        </w:rPr>
        <w:fldChar w:fldCharType="begin"/>
      </w:r>
      <w:r>
        <w:rPr>
          <w:rFonts w:asciiTheme="minorHAnsi" w:hAnsiTheme="minorHAnsi"/>
        </w:rPr>
        <w:instrText xml:space="preserve"> SEQ Table \* ARABIC </w:instrText>
      </w:r>
      <w:r w:rsidR="00704603">
        <w:rPr>
          <w:rFonts w:asciiTheme="minorHAnsi" w:hAnsiTheme="minorHAnsi"/>
        </w:rPr>
        <w:fldChar w:fldCharType="separate"/>
      </w:r>
      <w:r w:rsidR="00AD2AE0">
        <w:rPr>
          <w:rFonts w:asciiTheme="minorHAnsi" w:hAnsiTheme="minorHAnsi"/>
          <w:noProof/>
        </w:rPr>
        <w:t>7</w:t>
      </w:r>
      <w:r w:rsidR="00704603">
        <w:rPr>
          <w:rFonts w:asciiTheme="minorHAnsi" w:hAnsiTheme="minorHAnsi"/>
        </w:rPr>
        <w:fldChar w:fldCharType="end"/>
      </w:r>
      <w:r>
        <w:rPr>
          <w:rFonts w:asciiTheme="minorHAnsi" w:hAnsiTheme="minorHAnsi"/>
        </w:rPr>
        <w:t xml:space="preserve"> – Number of Households Served</w:t>
      </w:r>
    </w:p>
    <w:p w:rsidR="00A94410" w:rsidRDefault="00A94410">
      <w:pPr>
        <w:widowControl w:val="0"/>
        <w:spacing w:line="204" w:lineRule="auto"/>
        <w:rPr>
          <w:b/>
          <w:sz w:val="24"/>
          <w:szCs w:val="24"/>
        </w:rPr>
      </w:pPr>
    </w:p>
    <w:p w:rsidR="00A94410" w:rsidRDefault="008E5BB0" w:rsidP="00F8120E">
      <w:pPr>
        <w:widowControl w:val="0"/>
        <w:spacing w:line="360" w:lineRule="auto"/>
        <w:contextualSpacing/>
        <w:rPr>
          <w:b/>
          <w:sz w:val="24"/>
          <w:szCs w:val="24"/>
        </w:rPr>
      </w:pPr>
      <w:r>
        <w:rPr>
          <w:b/>
          <w:sz w:val="24"/>
          <w:szCs w:val="24"/>
        </w:rPr>
        <w:t>Narrative Information</w:t>
      </w:r>
    </w:p>
    <w:p w:rsidR="00A94410" w:rsidRDefault="008E5BB0" w:rsidP="00F8120E">
      <w:pPr>
        <w:spacing w:line="360" w:lineRule="auto"/>
        <w:contextualSpacing/>
        <w:rPr>
          <w:rFonts w:cs="Arial"/>
        </w:rPr>
      </w:pPr>
      <w:r>
        <w:rPr>
          <w:rFonts w:cs="Arial"/>
        </w:rPr>
        <w:t>The numbers in Table 7, reflect the Emergency Repair and Repair Affair Programs.   The "Production of New Units" in table</w:t>
      </w:r>
      <w:r w:rsidR="00B17BA6">
        <w:rPr>
          <w:rFonts w:cs="Arial"/>
        </w:rPr>
        <w:t> 5</w:t>
      </w:r>
      <w:r>
        <w:rPr>
          <w:rFonts w:cs="Arial"/>
        </w:rPr>
        <w:t xml:space="preserve">, above note 2, which is NSP units.  "Rehab of Existing Units" note 14, which are Emergency Repair &amp; Repair Affair units.  </w:t>
      </w:r>
    </w:p>
    <w:p w:rsidR="00A94410" w:rsidRDefault="00A94410" w:rsidP="00F8120E">
      <w:pPr>
        <w:spacing w:line="360" w:lineRule="auto"/>
        <w:contextualSpacing/>
        <w:rPr>
          <w:rFonts w:cs="Arial"/>
        </w:rPr>
      </w:pPr>
    </w:p>
    <w:p w:rsidR="00A94410" w:rsidRDefault="00A94410">
      <w:pPr>
        <w:rPr>
          <w:rFonts w:cs="Arial"/>
        </w:rPr>
      </w:pPr>
    </w:p>
    <w:p w:rsidR="00A94410" w:rsidRDefault="00A94410">
      <w:pPr>
        <w:pStyle w:val="Heading2"/>
        <w:pageBreakBefore/>
        <w:rPr>
          <w:rFonts w:ascii="Calibri" w:hAnsi="Calibri"/>
          <w:i w:val="0"/>
        </w:rPr>
        <w:sectPr w:rsidR="00A94410">
          <w:pgSz w:w="12240" w:h="15840" w:code="1"/>
          <w:pgMar w:top="1440" w:right="1440" w:bottom="1440" w:left="1440" w:header="720" w:footer="720" w:gutter="0"/>
          <w:cols w:space="720"/>
          <w:docGrid w:linePitch="360"/>
        </w:sectPr>
      </w:pPr>
    </w:p>
    <w:bookmarkEnd w:id="1"/>
    <w:p w:rsidR="00A94410" w:rsidRDefault="008E5BB0">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rsidR="00A94410" w:rsidRDefault="008E5BB0">
      <w:pPr>
        <w:keepNext/>
        <w:widowControl w:val="0"/>
        <w:rPr>
          <w:b/>
          <w:sz w:val="24"/>
          <w:szCs w:val="24"/>
        </w:rPr>
      </w:pPr>
      <w:r>
        <w:rPr>
          <w:b/>
          <w:sz w:val="24"/>
          <w:szCs w:val="24"/>
        </w:rPr>
        <w:t>Evaluate the jurisdiction’s progress in meeting its specific objectives for reducing and ending homelessness through:</w:t>
      </w:r>
    </w:p>
    <w:p w:rsidR="00A94410" w:rsidRDefault="008E5BB0">
      <w:pPr>
        <w:widowControl w:val="0"/>
        <w:rPr>
          <w:b/>
          <w:sz w:val="24"/>
          <w:szCs w:val="24"/>
        </w:rPr>
      </w:pPr>
      <w:r>
        <w:rPr>
          <w:b/>
          <w:sz w:val="24"/>
          <w:szCs w:val="24"/>
        </w:rPr>
        <w:t>Reaching out to homeless persons (especially unsheltered persons) and assessing their individual needs</w:t>
      </w:r>
    </w:p>
    <w:p w:rsidR="00A94410" w:rsidRDefault="008E5BB0" w:rsidP="00F8120E">
      <w:pPr>
        <w:widowControl w:val="0"/>
        <w:spacing w:line="360" w:lineRule="auto"/>
        <w:contextualSpacing/>
        <w:rPr>
          <w:rFonts w:cs="Arial"/>
        </w:rPr>
      </w:pPr>
      <w:r>
        <w:rPr>
          <w:rFonts w:cs="Arial"/>
        </w:rPr>
        <w:t xml:space="preserve">The Catalyst Rescue Mission, Homeless Coalition of Southern Indiana (HCSI), The Salvation Army and Hope Southern IN are among others in the community that reach out and assess the homeless and at-risk of becoming homeless population.  The HCSI secured an extension from Community Foundation of Southern Indiana (CFSI) of a multi-year grant to create a centralized intake referral system for service providers.  They currently have 27 agencies actively involved which include the school system, mental health agencies, housing providers, food bank etc.  The HCSI gathered data and statistics and worked with Floyd and Clark counties on community planning including the Quarantine Shelter to ensure agencies were prepared for COVID-19.  They continue to advocate at local and State levels for the homeless population and solidified $31,000 for the </w:t>
      </w:r>
      <w:proofErr w:type="spellStart"/>
      <w:r>
        <w:rPr>
          <w:rFonts w:cs="Arial"/>
        </w:rPr>
        <w:t>CoC</w:t>
      </w:r>
      <w:proofErr w:type="spellEnd"/>
      <w:r>
        <w:rPr>
          <w:rFonts w:cs="Arial"/>
        </w:rPr>
        <w:t xml:space="preserve"> for a COVID-19 response and worked with the City on the process for a homeless camp evacuation.  A Service Coordinator was hired this past year and has served 48 individuals.  The HCSI partners with other providers to conduct the Point </w:t>
      </w:r>
      <w:r w:rsidR="00B17BA6">
        <w:rPr>
          <w:rFonts w:cs="Arial"/>
        </w:rPr>
        <w:t>in</w:t>
      </w:r>
      <w:r>
        <w:rPr>
          <w:rFonts w:cs="Arial"/>
        </w:rPr>
        <w:t xml:space="preserve"> Time Count and they provided the White Flag Shelter in partnership with the Salvation Army last winter and served 112 unduplicated individuals over 46 nights. </w:t>
      </w:r>
      <w:proofErr w:type="spellStart"/>
      <w:r>
        <w:rPr>
          <w:rFonts w:cs="Arial"/>
        </w:rPr>
        <w:t>Lifespring</w:t>
      </w:r>
      <w:proofErr w:type="spellEnd"/>
      <w:r>
        <w:rPr>
          <w:rFonts w:cs="Arial"/>
        </w:rPr>
        <w:t xml:space="preserve"> Mental Health Systems, St. Elizabeth’s, Center for Women &amp; Families all provide mental health and case management services for the homeless and at-risk population. </w:t>
      </w:r>
    </w:p>
    <w:p w:rsidR="00F8120E" w:rsidRDefault="00F8120E" w:rsidP="00F8120E">
      <w:pPr>
        <w:widowControl w:val="0"/>
        <w:spacing w:line="360" w:lineRule="auto"/>
        <w:contextualSpacing/>
        <w:rPr>
          <w:rFonts w:cs="Arial"/>
        </w:rPr>
      </w:pPr>
    </w:p>
    <w:p w:rsidR="00A94410" w:rsidRDefault="008E5BB0" w:rsidP="00F8120E">
      <w:pPr>
        <w:widowControl w:val="0"/>
        <w:spacing w:line="360" w:lineRule="auto"/>
        <w:contextualSpacing/>
        <w:rPr>
          <w:b/>
          <w:sz w:val="24"/>
          <w:szCs w:val="24"/>
        </w:rPr>
      </w:pPr>
      <w:r>
        <w:rPr>
          <w:b/>
          <w:sz w:val="24"/>
          <w:szCs w:val="24"/>
        </w:rPr>
        <w:t>Addressing the emergency shelter and transitional housing needs of homeless persons</w:t>
      </w:r>
    </w:p>
    <w:p w:rsidR="00A94410" w:rsidRDefault="008E5BB0" w:rsidP="00F8120E">
      <w:pPr>
        <w:widowControl w:val="0"/>
        <w:spacing w:line="360" w:lineRule="auto"/>
        <w:contextualSpacing/>
        <w:rPr>
          <w:rFonts w:cs="Arial"/>
        </w:rPr>
      </w:pPr>
      <w:r>
        <w:rPr>
          <w:rFonts w:cs="Arial"/>
        </w:rPr>
        <w:t xml:space="preserve">Catalyst Rescue Mission replaced the Haven House Emergency Shelter this past year.  Catalyst served 333 individuals of which 81 were originally from Floyd County.  Approximately 200 of them were referred from mental health services.  Forty-seven found </w:t>
      </w:r>
      <w:proofErr w:type="spellStart"/>
      <w:r>
        <w:rPr>
          <w:rFonts w:cs="Arial"/>
        </w:rPr>
        <w:t>permanment</w:t>
      </w:r>
      <w:proofErr w:type="spellEnd"/>
      <w:r>
        <w:rPr>
          <w:rFonts w:cs="Arial"/>
        </w:rPr>
        <w:t xml:space="preserve"> housing while another 46 were able to move in with family members.  Catalyst received an Emergency Solutions Grant</w:t>
      </w:r>
      <w:r w:rsidR="00B17BA6">
        <w:rPr>
          <w:rFonts w:cs="Arial"/>
        </w:rPr>
        <w:t xml:space="preserve"> </w:t>
      </w:r>
      <w:r>
        <w:rPr>
          <w:rFonts w:cs="Arial"/>
        </w:rPr>
        <w:t xml:space="preserve">(ESG) that was able to </w:t>
      </w:r>
      <w:proofErr w:type="spellStart"/>
      <w:r>
        <w:rPr>
          <w:rFonts w:cs="Arial"/>
        </w:rPr>
        <w:t>quarentine</w:t>
      </w:r>
      <w:proofErr w:type="spellEnd"/>
      <w:r>
        <w:rPr>
          <w:rFonts w:cs="Arial"/>
        </w:rPr>
        <w:t xml:space="preserve"> 100 individuals during the </w:t>
      </w:r>
      <w:proofErr w:type="spellStart"/>
      <w:r>
        <w:rPr>
          <w:rFonts w:cs="Arial"/>
        </w:rPr>
        <w:t>Coronairus</w:t>
      </w:r>
      <w:proofErr w:type="spellEnd"/>
      <w:r>
        <w:rPr>
          <w:rFonts w:cs="Arial"/>
        </w:rPr>
        <w:t xml:space="preserve"> until they were placed in the shelter or other placement was found once determined to test negative for the virus. </w:t>
      </w:r>
    </w:p>
    <w:p w:rsidR="00DF44AF" w:rsidRDefault="00DF44AF" w:rsidP="00F8120E">
      <w:pPr>
        <w:widowControl w:val="0"/>
        <w:spacing w:line="360" w:lineRule="auto"/>
        <w:contextualSpacing/>
        <w:rPr>
          <w:rFonts w:cs="Arial"/>
        </w:rPr>
      </w:pPr>
    </w:p>
    <w:p w:rsidR="00A94410" w:rsidRDefault="008E5BB0" w:rsidP="00F8120E">
      <w:pPr>
        <w:widowControl w:val="0"/>
        <w:spacing w:line="360" w:lineRule="auto"/>
        <w:contextualSpacing/>
        <w:rPr>
          <w:rFonts w:cs="Arial"/>
        </w:rPr>
      </w:pPr>
      <w:r>
        <w:rPr>
          <w:rFonts w:cs="Arial"/>
        </w:rPr>
        <w:t xml:space="preserve">The Volunteers of America (VOA) and Kaiser Home Support Services continue to provide housing for homeless persons and more specifically homeless veterans.  Blue River </w:t>
      </w:r>
      <w:r w:rsidR="00B17BA6">
        <w:rPr>
          <w:rFonts w:cs="Arial"/>
        </w:rPr>
        <w:t>Housing,</w:t>
      </w:r>
      <w:r>
        <w:rPr>
          <w:rFonts w:cs="Arial"/>
        </w:rPr>
        <w:t xml:space="preserve"> in partnership with </w:t>
      </w:r>
      <w:r>
        <w:rPr>
          <w:rFonts w:cs="Arial"/>
        </w:rPr>
        <w:lastRenderedPageBreak/>
        <w:t xml:space="preserve">Hoosier Hills offers transitional housing for domestic violence victims in the surrounding counties of Harrison and Washington.  </w:t>
      </w:r>
    </w:p>
    <w:p w:rsidR="00A94410" w:rsidRDefault="008E5BB0" w:rsidP="00F8120E">
      <w:pPr>
        <w:widowControl w:val="0"/>
        <w:spacing w:line="360" w:lineRule="auto"/>
        <w:contextualSpacing/>
        <w:rPr>
          <w:rFonts w:cs="Arial"/>
        </w:rPr>
      </w:pPr>
      <w:r>
        <w:rPr>
          <w:rFonts w:cs="Arial"/>
          <w:b/>
        </w:rPr>
        <w:t>Emergency Shelter:</w:t>
      </w:r>
    </w:p>
    <w:p w:rsidR="00A94410" w:rsidRDefault="008E5BB0" w:rsidP="00F8120E">
      <w:pPr>
        <w:widowControl w:val="0"/>
        <w:spacing w:line="360" w:lineRule="auto"/>
        <w:contextualSpacing/>
        <w:rPr>
          <w:rFonts w:cs="Arial"/>
        </w:rPr>
      </w:pPr>
      <w:r>
        <w:rPr>
          <w:rFonts w:cs="Arial"/>
        </w:rPr>
        <w:t>St. Elizabeth’s Emergency Shelter – 19 beds (women &amp; children)</w:t>
      </w:r>
    </w:p>
    <w:p w:rsidR="00A94410" w:rsidRDefault="008E5BB0" w:rsidP="00F8120E">
      <w:pPr>
        <w:widowControl w:val="0"/>
        <w:spacing w:line="360" w:lineRule="auto"/>
        <w:contextualSpacing/>
        <w:rPr>
          <w:rFonts w:cs="Arial"/>
        </w:rPr>
      </w:pPr>
      <w:r>
        <w:rPr>
          <w:rFonts w:cs="Arial"/>
        </w:rPr>
        <w:t xml:space="preserve">Catalyst Rescue Mission's Emergency Shelter-82 beds </w:t>
      </w:r>
    </w:p>
    <w:p w:rsidR="00A94410" w:rsidRDefault="008E5BB0" w:rsidP="00F8120E">
      <w:pPr>
        <w:widowControl w:val="0"/>
        <w:spacing w:line="360" w:lineRule="auto"/>
        <w:contextualSpacing/>
        <w:rPr>
          <w:rFonts w:cs="Arial"/>
        </w:rPr>
      </w:pPr>
      <w:r>
        <w:rPr>
          <w:rFonts w:cs="Arial"/>
        </w:rPr>
        <w:t>The Salvation Army White Flag - served 112 individuals over 46 nights</w:t>
      </w:r>
    </w:p>
    <w:p w:rsidR="00A94410" w:rsidRDefault="008E5BB0" w:rsidP="00F8120E">
      <w:pPr>
        <w:widowControl w:val="0"/>
        <w:spacing w:line="360" w:lineRule="auto"/>
        <w:contextualSpacing/>
        <w:rPr>
          <w:rFonts w:cs="Arial"/>
        </w:rPr>
      </w:pPr>
      <w:r>
        <w:rPr>
          <w:rFonts w:cs="Arial"/>
          <w:b/>
        </w:rPr>
        <w:t>Transitional &amp; Permanent Supportive Housing:</w:t>
      </w:r>
    </w:p>
    <w:p w:rsidR="00A94410" w:rsidRDefault="008E5BB0" w:rsidP="00F8120E">
      <w:pPr>
        <w:widowControl w:val="0"/>
        <w:spacing w:line="360" w:lineRule="auto"/>
        <w:contextualSpacing/>
        <w:rPr>
          <w:rFonts w:cs="Arial"/>
        </w:rPr>
      </w:pPr>
      <w:r>
        <w:rPr>
          <w:rFonts w:cs="Arial"/>
        </w:rPr>
        <w:t xml:space="preserve">St. Elizabeth’s Affordable Supportive Housing 9 units (26 beds)  </w:t>
      </w:r>
    </w:p>
    <w:p w:rsidR="00A94410" w:rsidRDefault="008E5BB0" w:rsidP="00F8120E">
      <w:pPr>
        <w:widowControl w:val="0"/>
        <w:spacing w:line="360" w:lineRule="auto"/>
        <w:contextualSpacing/>
        <w:rPr>
          <w:rFonts w:cs="Arial"/>
        </w:rPr>
      </w:pPr>
      <w:r>
        <w:rPr>
          <w:rFonts w:cs="Arial"/>
        </w:rPr>
        <w:t>St. Elizabeth’s Regional Maternity Center- 12 beds</w:t>
      </w:r>
    </w:p>
    <w:p w:rsidR="00A94410" w:rsidRDefault="008E5BB0" w:rsidP="00F8120E">
      <w:pPr>
        <w:widowControl w:val="0"/>
        <w:spacing w:line="360" w:lineRule="auto"/>
        <w:contextualSpacing/>
        <w:rPr>
          <w:rFonts w:cs="Arial"/>
        </w:rPr>
      </w:pPr>
      <w:r>
        <w:rPr>
          <w:rFonts w:cs="Arial"/>
        </w:rPr>
        <w:t>Jill’s Hope Transitional Housing for Domestic Violence Victims-16 beds</w:t>
      </w:r>
    </w:p>
    <w:p w:rsidR="00A94410" w:rsidRDefault="008E5BB0" w:rsidP="00F8120E">
      <w:pPr>
        <w:widowControl w:val="0"/>
        <w:spacing w:line="360" w:lineRule="auto"/>
        <w:contextualSpacing/>
        <w:rPr>
          <w:rFonts w:cs="Arial"/>
        </w:rPr>
      </w:pPr>
      <w:r>
        <w:rPr>
          <w:rFonts w:cs="Arial"/>
        </w:rPr>
        <w:t>Liberty Place (Veterans)-16 beds</w:t>
      </w:r>
    </w:p>
    <w:p w:rsidR="00A94410" w:rsidRDefault="008E5BB0" w:rsidP="00F8120E">
      <w:pPr>
        <w:widowControl w:val="0"/>
        <w:spacing w:line="360" w:lineRule="auto"/>
        <w:contextualSpacing/>
        <w:rPr>
          <w:rFonts w:cs="Arial"/>
        </w:rPr>
      </w:pPr>
      <w:proofErr w:type="spellStart"/>
      <w:r>
        <w:rPr>
          <w:rFonts w:cs="Arial"/>
        </w:rPr>
        <w:t>LifeSpring</w:t>
      </w:r>
      <w:proofErr w:type="spellEnd"/>
      <w:r>
        <w:rPr>
          <w:rFonts w:cs="Arial"/>
        </w:rPr>
        <w:t xml:space="preserve"> Permanent Supportive Housing-17 apartments (35 beds)</w:t>
      </w:r>
    </w:p>
    <w:p w:rsidR="00A94410" w:rsidRDefault="008E5BB0" w:rsidP="00F8120E">
      <w:pPr>
        <w:widowControl w:val="0"/>
        <w:spacing w:line="360" w:lineRule="auto"/>
        <w:contextualSpacing/>
        <w:rPr>
          <w:rFonts w:cs="Arial"/>
        </w:rPr>
      </w:pPr>
      <w:r>
        <w:rPr>
          <w:rFonts w:cs="Arial"/>
        </w:rPr>
        <w:t>Blue River (Stepping Stones) Supportive housing for young adults (18-25) with disabilities- 7 units</w:t>
      </w:r>
      <w:r>
        <w:rPr>
          <w:rFonts w:cs="Arial"/>
        </w:rPr>
        <w:br/>
      </w:r>
    </w:p>
    <w:p w:rsidR="00A94410" w:rsidRDefault="008E5BB0" w:rsidP="00F8120E">
      <w:pPr>
        <w:widowControl w:val="0"/>
        <w:spacing w:line="240" w:lineRule="auto"/>
        <w:contextualSpacing/>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F8120E" w:rsidRDefault="00F8120E" w:rsidP="00F8120E">
      <w:pPr>
        <w:widowControl w:val="0"/>
        <w:spacing w:line="240" w:lineRule="auto"/>
        <w:contextualSpacing/>
        <w:rPr>
          <w:b/>
          <w:sz w:val="24"/>
          <w:szCs w:val="24"/>
        </w:rPr>
      </w:pPr>
    </w:p>
    <w:p w:rsidR="00A94410" w:rsidRDefault="008E5BB0" w:rsidP="00F8120E">
      <w:pPr>
        <w:widowControl w:val="0"/>
        <w:spacing w:before="100" w:beforeAutospacing="1" w:after="100" w:afterAutospacing="1" w:line="360" w:lineRule="auto"/>
        <w:contextualSpacing/>
        <w:rPr>
          <w:rFonts w:cs="Arial"/>
        </w:rPr>
      </w:pPr>
      <w:r>
        <w:rPr>
          <w:rFonts w:cs="Arial"/>
        </w:rPr>
        <w:t>Blue River Services assists individuals including disabled overcome barriers to independenc</w:t>
      </w:r>
      <w:r w:rsidR="00DF44AF">
        <w:rPr>
          <w:rFonts w:cs="Arial"/>
        </w:rPr>
        <w:t>e</w:t>
      </w:r>
      <w:r>
        <w:rPr>
          <w:rFonts w:cs="Arial"/>
        </w:rPr>
        <w:t xml:space="preserve"> by providing individualized instruction in daily living skills, socialization, and community integration.  The Volunteers of America (VOA) and Southern Indiana’s HOPWA program provides emergency financial assistance</w:t>
      </w:r>
      <w:r w:rsidR="00B17BA6">
        <w:rPr>
          <w:rFonts w:cs="Arial"/>
        </w:rPr>
        <w:t> to</w:t>
      </w:r>
      <w:r>
        <w:rPr>
          <w:rFonts w:cs="Arial"/>
        </w:rPr>
        <w:t xml:space="preserve"> individuals with HIV/AIDS who are at-risk of becoming homeless or losing utility services and other resources to help them achieve long-term housing stability including financial management, legal assistance career opportunities and </w:t>
      </w:r>
      <w:proofErr w:type="spellStart"/>
      <w:r>
        <w:rPr>
          <w:rFonts w:cs="Arial"/>
        </w:rPr>
        <w:t>nutrional</w:t>
      </w:r>
      <w:proofErr w:type="spellEnd"/>
      <w:r>
        <w:rPr>
          <w:rFonts w:cs="Arial"/>
        </w:rPr>
        <w:t xml:space="preserve"> options.  </w:t>
      </w:r>
    </w:p>
    <w:p w:rsidR="00DF44AF" w:rsidRDefault="00DF44AF" w:rsidP="00F8120E">
      <w:pPr>
        <w:widowControl w:val="0"/>
        <w:spacing w:before="100" w:beforeAutospacing="1" w:after="100" w:afterAutospacing="1" w:line="360" w:lineRule="auto"/>
        <w:contextualSpacing/>
        <w:rPr>
          <w:rFonts w:cs="Arial"/>
        </w:rPr>
      </w:pPr>
    </w:p>
    <w:p w:rsidR="00A94410" w:rsidRDefault="008E5BB0" w:rsidP="00F8120E">
      <w:pPr>
        <w:widowControl w:val="0"/>
        <w:spacing w:before="100" w:beforeAutospacing="1" w:after="100" w:afterAutospacing="1" w:line="360" w:lineRule="auto"/>
        <w:contextualSpacing/>
        <w:rPr>
          <w:rFonts w:cs="Arial"/>
        </w:rPr>
      </w:pPr>
      <w:r>
        <w:rPr>
          <w:rFonts w:cs="Arial"/>
        </w:rPr>
        <w:t>St. Elizabeth’s three programs listed above assisted parenting females moving toward permanent housing and case management.  The</w:t>
      </w:r>
      <w:r w:rsidR="00B17BA6">
        <w:rPr>
          <w:rFonts w:cs="Arial"/>
        </w:rPr>
        <w:t> programs</w:t>
      </w:r>
      <w:r>
        <w:rPr>
          <w:rFonts w:cs="Arial"/>
        </w:rPr>
        <w:t xml:space="preserve"> listed in the section above all assisted a variety of low-income persons avoid becoming homeless.  The New Albany Township Trustee provided rental</w:t>
      </w:r>
      <w:r w:rsidR="00B17BA6">
        <w:rPr>
          <w:rFonts w:cs="Arial"/>
        </w:rPr>
        <w:t> &amp;</w:t>
      </w:r>
      <w:r>
        <w:rPr>
          <w:rFonts w:cs="Arial"/>
        </w:rPr>
        <w:t xml:space="preserve"> utility assistance to individuals and families that are at-risk of becoming homeless due to pending eviction and utility shut off.  The New Albany Housing Authority gives special exception to</w:t>
      </w:r>
      <w:r w:rsidR="00B17BA6">
        <w:rPr>
          <w:rFonts w:cs="Arial"/>
        </w:rPr>
        <w:t> homeless</w:t>
      </w:r>
      <w:r>
        <w:rPr>
          <w:rFonts w:cs="Arial"/>
        </w:rPr>
        <w:t xml:space="preserve"> and those a</w:t>
      </w:r>
      <w:r w:rsidR="00B17BA6">
        <w:rPr>
          <w:rFonts w:cs="Arial"/>
        </w:rPr>
        <w:t>t</w:t>
      </w:r>
      <w:r>
        <w:rPr>
          <w:rFonts w:cs="Arial"/>
        </w:rPr>
        <w:t>-risk of becoming homeless.</w:t>
      </w:r>
      <w:r>
        <w:rPr>
          <w:rFonts w:cs="Arial"/>
        </w:rPr>
        <w:br/>
      </w:r>
    </w:p>
    <w:p w:rsidR="00A94410" w:rsidRDefault="008E5BB0" w:rsidP="00F8120E">
      <w:pPr>
        <w:widowControl w:val="0"/>
        <w:spacing w:line="240" w:lineRule="auto"/>
        <w:contextualSpacing/>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F8120E" w:rsidRDefault="00F8120E" w:rsidP="00F8120E">
      <w:pPr>
        <w:widowControl w:val="0"/>
        <w:spacing w:line="240" w:lineRule="auto"/>
        <w:contextualSpacing/>
        <w:rPr>
          <w:b/>
          <w:sz w:val="24"/>
          <w:szCs w:val="24"/>
        </w:rPr>
      </w:pPr>
    </w:p>
    <w:p w:rsidR="00F8120E" w:rsidRDefault="008E5BB0" w:rsidP="00F8120E">
      <w:pPr>
        <w:widowControl w:val="0"/>
        <w:spacing w:line="360" w:lineRule="auto"/>
        <w:contextualSpacing/>
        <w:rPr>
          <w:rFonts w:cs="Arial"/>
        </w:rPr>
      </w:pPr>
      <w:r>
        <w:rPr>
          <w:rFonts w:cs="Arial"/>
        </w:rPr>
        <w:t xml:space="preserve">The Volunteers of America (VOA) provided rental assistance, vocational, educational and counseling for Veterans and their families that promote stability who reside in or are transitioning to permanent housing. The Center for Women &amp; Families provides hotel vouchers as needed, legal advocacy, counseling and transportation.  Indiana University Southeast (IUS) Veterans Organization collected non-perishables, clothing, and household items that assisted </w:t>
      </w:r>
      <w:r w:rsidR="00B17BA6">
        <w:rPr>
          <w:rFonts w:cs="Arial"/>
        </w:rPr>
        <w:t>veteran’s</w:t>
      </w:r>
      <w:r>
        <w:rPr>
          <w:rFonts w:cs="Arial"/>
        </w:rPr>
        <w:t xml:space="preserve"> transition into a stable life.  Liberty Place (Kaiser Home Support Services) provided 16 rooms for homeless Veterans with a 24 hour staff.  Hope Southern Indiana holds monthly meetings for veterans and local restaurants donate lunch.  Blue River Services provided rentals and supportive services for homeless young adults (18-25) with disabilities. </w:t>
      </w:r>
    </w:p>
    <w:p w:rsidR="00F8120E" w:rsidRPr="00F8120E" w:rsidRDefault="00F8120E" w:rsidP="00F8120E">
      <w:pPr>
        <w:widowControl w:val="0"/>
        <w:spacing w:line="360" w:lineRule="auto"/>
        <w:contextualSpacing/>
        <w:rPr>
          <w:rFonts w:cs="Arial"/>
          <w:sz w:val="28"/>
          <w:szCs w:val="28"/>
        </w:rPr>
      </w:pPr>
    </w:p>
    <w:p w:rsidR="00A94410" w:rsidRPr="00F8120E" w:rsidRDefault="008E5BB0" w:rsidP="00F8120E">
      <w:pPr>
        <w:widowControl w:val="0"/>
        <w:spacing w:line="360" w:lineRule="auto"/>
        <w:contextualSpacing/>
        <w:rPr>
          <w:b/>
          <w:i/>
          <w:sz w:val="28"/>
          <w:szCs w:val="28"/>
        </w:rPr>
      </w:pPr>
      <w:r w:rsidRPr="00F8120E">
        <w:rPr>
          <w:b/>
          <w:i/>
          <w:sz w:val="28"/>
          <w:szCs w:val="28"/>
        </w:rPr>
        <w:t>CR-30 - Public Housing 91.220(h); 91.320(j)</w:t>
      </w:r>
    </w:p>
    <w:p w:rsidR="00A94410" w:rsidRDefault="008E5BB0">
      <w:pPr>
        <w:keepNext/>
        <w:widowControl w:val="0"/>
        <w:rPr>
          <w:b/>
          <w:sz w:val="24"/>
          <w:szCs w:val="24"/>
        </w:rPr>
      </w:pPr>
      <w:r>
        <w:rPr>
          <w:b/>
          <w:sz w:val="24"/>
          <w:szCs w:val="24"/>
        </w:rPr>
        <w:t>Actions taken to address the needs of public housing</w:t>
      </w:r>
    </w:p>
    <w:p w:rsidR="00A814D5" w:rsidRDefault="00A814D5" w:rsidP="00AD2AE0">
      <w:pPr>
        <w:widowControl w:val="0"/>
        <w:spacing w:before="100" w:beforeAutospacing="1" w:after="100" w:afterAutospacing="1" w:line="360" w:lineRule="auto"/>
        <w:contextualSpacing/>
        <w:rPr>
          <w:rFonts w:cs="Arial"/>
        </w:rPr>
      </w:pPr>
      <w:r>
        <w:rPr>
          <w:rFonts w:cs="Arial"/>
        </w:rPr>
        <w:t xml:space="preserve">The following information is provided by the New Albany Housing Authority:  The New Albany Housing Authority (NAHA) has commissioned two studies to </w:t>
      </w:r>
      <w:proofErr w:type="spellStart"/>
      <w:r>
        <w:rPr>
          <w:rFonts w:cs="Arial"/>
        </w:rPr>
        <w:t>anaylze</w:t>
      </w:r>
      <w:proofErr w:type="spellEnd"/>
      <w:r>
        <w:rPr>
          <w:rFonts w:cs="Arial"/>
        </w:rPr>
        <w:t xml:space="preserve"> the condition of the NAHA units and a study of existing affordable housing and market-rate housing in a five mile radius of New Albany as a step toward decentralizing public housing.   That information that was detailed has been inputted into the NAHA Comprehensive Plan and accepted by the Board. NAHA and New Hope Services have partnered to build 32 duplexes </w:t>
      </w:r>
      <w:proofErr w:type="gramStart"/>
      <w:r>
        <w:rPr>
          <w:rFonts w:cs="Arial"/>
        </w:rPr>
        <w:t>and  seven</w:t>
      </w:r>
      <w:proofErr w:type="gramEnd"/>
      <w:r>
        <w:rPr>
          <w:rFonts w:cs="Arial"/>
        </w:rPr>
        <w:t xml:space="preserve"> single family housing units of which 20% would be set aside for the NAHA residents.  New Hope has applied for tax credits and </w:t>
      </w:r>
      <w:proofErr w:type="gramStart"/>
      <w:r>
        <w:rPr>
          <w:rFonts w:cs="Arial"/>
        </w:rPr>
        <w:t>were</w:t>
      </w:r>
      <w:proofErr w:type="gramEnd"/>
      <w:r>
        <w:rPr>
          <w:rFonts w:cs="Arial"/>
        </w:rPr>
        <w:t xml:space="preserve"> awarded a 9% tax credit allocation from Indiana Housing Community Development Authority (IHCDA).  NAHA is applying for additional Rental Demonstration Assistance (RAD) through the U.S. Department of HUD for </w:t>
      </w:r>
      <w:proofErr w:type="spellStart"/>
      <w:r>
        <w:rPr>
          <w:rFonts w:cs="Arial"/>
        </w:rPr>
        <w:t>Beechwood</w:t>
      </w:r>
      <w:proofErr w:type="spellEnd"/>
      <w:r>
        <w:rPr>
          <w:rFonts w:cs="Arial"/>
        </w:rPr>
        <w:t xml:space="preserve"> </w:t>
      </w:r>
      <w:proofErr w:type="gramStart"/>
      <w:r>
        <w:rPr>
          <w:rFonts w:cs="Arial"/>
        </w:rPr>
        <w:t>Apartments  and</w:t>
      </w:r>
      <w:proofErr w:type="gramEnd"/>
      <w:r>
        <w:rPr>
          <w:rFonts w:cs="Arial"/>
        </w:rPr>
        <w:t xml:space="preserve"> Riverside Terrace.  NAHA has als</w:t>
      </w:r>
      <w:r w:rsidR="00B508B2">
        <w:rPr>
          <w:rFonts w:cs="Arial"/>
        </w:rPr>
        <w:t>o</w:t>
      </w:r>
      <w:r>
        <w:rPr>
          <w:rFonts w:cs="Arial"/>
        </w:rPr>
        <w:t xml:space="preserve"> announced plans to apply for demolition of Riverview Tower and expect a decision from HUD in 2021.  </w:t>
      </w:r>
    </w:p>
    <w:p w:rsidR="00A94410" w:rsidRDefault="008E5BB0">
      <w:pPr>
        <w:widowControl w:val="0"/>
        <w:rPr>
          <w:b/>
          <w:sz w:val="24"/>
          <w:szCs w:val="24"/>
        </w:rPr>
      </w:pPr>
      <w:r>
        <w:rPr>
          <w:b/>
          <w:sz w:val="24"/>
          <w:szCs w:val="24"/>
        </w:rPr>
        <w:t>Actions taken to encourage public housing residents to become more involved in management and participate in homeownership</w:t>
      </w:r>
    </w:p>
    <w:p w:rsidR="00A814D5" w:rsidRDefault="00A814D5" w:rsidP="00AD2AE0">
      <w:pPr>
        <w:widowControl w:val="0"/>
        <w:spacing w:before="100" w:beforeAutospacing="1" w:after="100" w:afterAutospacing="1" w:line="360" w:lineRule="auto"/>
        <w:contextualSpacing/>
        <w:rPr>
          <w:rFonts w:cs="Arial"/>
        </w:rPr>
      </w:pPr>
      <w:r>
        <w:rPr>
          <w:rFonts w:cs="Arial"/>
        </w:rPr>
        <w:lastRenderedPageBreak/>
        <w:t>The NAHA convenes monthly meetings which residents are encouraged to attend, giving them a voice in management.  NAHA works with families to provide appropriate education and skills training, therefore encouraging involvement and seeking of living wage employment and moving toward homeownership.</w:t>
      </w:r>
    </w:p>
    <w:p w:rsidR="00A814D5" w:rsidRDefault="00A814D5" w:rsidP="00AD2AE0">
      <w:pPr>
        <w:widowControl w:val="0"/>
        <w:spacing w:before="100" w:beforeAutospacing="1" w:after="100" w:afterAutospacing="1" w:line="360" w:lineRule="auto"/>
        <w:contextualSpacing/>
        <w:rPr>
          <w:rFonts w:cs="Arial"/>
        </w:rPr>
      </w:pPr>
      <w:r>
        <w:rPr>
          <w:rFonts w:cs="Arial"/>
        </w:rPr>
        <w:t xml:space="preserve">NAHA has one of the first Family Unification Programs in the nation.  Working with the Division of Family &amp; Children the partnership provides Housing Choice Vouchers to families requiring stable housing to be reunited.  Currently 50 Vouchers are available and as of 2020 NAHA was awarded an additional 45 Family </w:t>
      </w:r>
      <w:proofErr w:type="spellStart"/>
      <w:r>
        <w:rPr>
          <w:rFonts w:cs="Arial"/>
        </w:rPr>
        <w:t>Unificaiton</w:t>
      </w:r>
      <w:proofErr w:type="spellEnd"/>
      <w:r>
        <w:rPr>
          <w:rFonts w:cs="Arial"/>
        </w:rPr>
        <w:t xml:space="preserve"> Vouchers.  NAHA currently has over 300 families accessing support services that include self-sufficiency, transportation, job referrals, GED/literacy programs, etc.  The partnership with New Hope Services will allow NAHA residents to lease to own the new units, if living there 15 years.  NAHA has assisted 30+ families with home ownership.  </w:t>
      </w:r>
    </w:p>
    <w:p w:rsidR="00A94410" w:rsidRDefault="008E5BB0">
      <w:pPr>
        <w:widowControl w:val="0"/>
        <w:rPr>
          <w:b/>
          <w:sz w:val="24"/>
          <w:szCs w:val="24"/>
        </w:rPr>
      </w:pPr>
      <w:r>
        <w:rPr>
          <w:b/>
          <w:sz w:val="24"/>
          <w:szCs w:val="24"/>
        </w:rPr>
        <w:t>Actions taken to provide assistance to troubled PHAs</w:t>
      </w:r>
    </w:p>
    <w:p w:rsidR="00A814D5" w:rsidRDefault="008E5BB0" w:rsidP="00A814D5">
      <w:pPr>
        <w:widowControl w:val="0"/>
        <w:spacing w:beforeAutospacing="1" w:afterAutospacing="1"/>
        <w:rPr>
          <w:rFonts w:cs="Arial"/>
        </w:rPr>
      </w:pPr>
      <w:r>
        <w:rPr>
          <w:rFonts w:cs="Arial"/>
        </w:rPr>
        <w:t>New Albany Housing Authority</w:t>
      </w:r>
      <w:r w:rsidR="00B17BA6">
        <w:rPr>
          <w:rFonts w:cs="Arial"/>
        </w:rPr>
        <w:t> is</w:t>
      </w:r>
      <w:r>
        <w:rPr>
          <w:rFonts w:cs="Arial"/>
        </w:rPr>
        <w:t xml:space="preserve"> not considered troubled.</w:t>
      </w:r>
    </w:p>
    <w:p w:rsidR="00A94410" w:rsidRPr="00A814D5" w:rsidRDefault="008E5BB0" w:rsidP="00A814D5">
      <w:pPr>
        <w:widowControl w:val="0"/>
        <w:spacing w:beforeAutospacing="1" w:afterAutospacing="1"/>
        <w:rPr>
          <w:b/>
          <w:i/>
          <w:sz w:val="28"/>
          <w:szCs w:val="28"/>
        </w:rPr>
      </w:pPr>
      <w:r w:rsidRPr="00A814D5">
        <w:rPr>
          <w:b/>
          <w:i/>
          <w:sz w:val="28"/>
          <w:szCs w:val="28"/>
        </w:rPr>
        <w:t>CR-35 - Other Actions 91.220(j)-(k); 91.320(</w:t>
      </w:r>
      <w:proofErr w:type="spellStart"/>
      <w:r w:rsidRPr="00A814D5">
        <w:rPr>
          <w:b/>
          <w:i/>
          <w:sz w:val="28"/>
          <w:szCs w:val="28"/>
        </w:rPr>
        <w:t>i</w:t>
      </w:r>
      <w:proofErr w:type="spellEnd"/>
      <w:r w:rsidRPr="00A814D5">
        <w:rPr>
          <w:b/>
          <w:i/>
          <w:sz w:val="28"/>
          <w:szCs w:val="28"/>
        </w:rPr>
        <w:t>)-(j)</w:t>
      </w:r>
    </w:p>
    <w:p w:rsidR="00A94410" w:rsidRDefault="008E5BB0">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rsidR="00A94410" w:rsidRDefault="008E5BB0" w:rsidP="00F8120E">
      <w:pPr>
        <w:widowControl w:val="0"/>
        <w:spacing w:line="360" w:lineRule="auto"/>
        <w:contextualSpacing/>
        <w:rPr>
          <w:rFonts w:cs="Arial"/>
        </w:rPr>
      </w:pPr>
      <w:r>
        <w:rPr>
          <w:rFonts w:cs="Arial"/>
        </w:rPr>
        <w:t>The New Albany City Council adopted a new Zoning Ordinance in 2019 for the City and Two-Mile Fringe area (an extra-territorial designation) that replaced a 1971 vintage ordinance. The new Zoning Ordinance permits greater density housing across all residential zoning districts, making the development of affordable housing much more attainable than under the previous ordinance. Indeed, the City has effectively ended the “single-family only” zoning designation. The City’s Plan Commission and Board of Zoning Appeals regularly collaborate with developers in the provision of affordable housing across all neighborhoods of the City and Two-Mile Fringe Area.</w:t>
      </w:r>
      <w:r w:rsidR="00DF44AF">
        <w:rPr>
          <w:rFonts w:cs="Arial"/>
        </w:rPr>
        <w:t xml:space="preserve">   Finally, there are three new </w:t>
      </w:r>
      <w:r w:rsidR="00F8120E">
        <w:rPr>
          <w:rFonts w:cs="Arial"/>
        </w:rPr>
        <w:t>d</w:t>
      </w:r>
      <w:r>
        <w:rPr>
          <w:rFonts w:cs="Arial"/>
        </w:rPr>
        <w:t xml:space="preserve">evelopments (Lancaster Lofts, Lofts on Spring and another not yet </w:t>
      </w:r>
      <w:r w:rsidR="00DF44AF">
        <w:rPr>
          <w:rFonts w:cs="Arial"/>
        </w:rPr>
        <w:t xml:space="preserve">named) under construction that have </w:t>
      </w:r>
      <w:r>
        <w:rPr>
          <w:rFonts w:cs="Arial"/>
        </w:rPr>
        <w:t xml:space="preserve">set aside 8% for </w:t>
      </w:r>
      <w:r w:rsidR="00B17BA6">
        <w:rPr>
          <w:rFonts w:cs="Arial"/>
        </w:rPr>
        <w:t>affordable</w:t>
      </w:r>
      <w:r>
        <w:rPr>
          <w:rFonts w:cs="Arial"/>
        </w:rPr>
        <w:t xml:space="preserve"> rental units in accordance with the City’s Comprehensive Plan requirement to set aside 8% of units for affordable housing when a project is assisted by the City. This should amount to approximately 12</w:t>
      </w:r>
      <w:r w:rsidR="00DF44AF">
        <w:rPr>
          <w:rFonts w:cs="Arial"/>
        </w:rPr>
        <w:t xml:space="preserve"> </w:t>
      </w:r>
      <w:r w:rsidR="00B17BA6">
        <w:rPr>
          <w:rFonts w:cs="Arial"/>
        </w:rPr>
        <w:t>new affordable</w:t>
      </w:r>
      <w:r>
        <w:rPr>
          <w:rFonts w:cs="Arial"/>
        </w:rPr>
        <w:t xml:space="preserve"> units.  The City approved zoning and construction for a Low Income Housing Tax Credit development of 248 units in early 2020. </w:t>
      </w:r>
    </w:p>
    <w:p w:rsidR="00F8120E" w:rsidRDefault="00F8120E" w:rsidP="00481401">
      <w:pPr>
        <w:widowControl w:val="0"/>
        <w:spacing w:line="360" w:lineRule="auto"/>
        <w:contextualSpacing/>
        <w:rPr>
          <w:b/>
          <w:sz w:val="24"/>
          <w:szCs w:val="24"/>
        </w:rPr>
      </w:pPr>
    </w:p>
    <w:p w:rsidR="00A94410" w:rsidRDefault="008E5BB0" w:rsidP="00481401">
      <w:pPr>
        <w:widowControl w:val="0"/>
        <w:spacing w:line="360" w:lineRule="auto"/>
        <w:contextualSpacing/>
        <w:rPr>
          <w:b/>
          <w:sz w:val="24"/>
          <w:szCs w:val="24"/>
        </w:rPr>
      </w:pPr>
      <w:r>
        <w:rPr>
          <w:b/>
          <w:sz w:val="24"/>
          <w:szCs w:val="24"/>
        </w:rPr>
        <w:lastRenderedPageBreak/>
        <w:t>Actions taken to reduce lead-based paint hazards. 91.220(k); 91.320(j)</w:t>
      </w:r>
    </w:p>
    <w:p w:rsidR="00A94410" w:rsidRDefault="008E5BB0" w:rsidP="00481401">
      <w:pPr>
        <w:widowControl w:val="0"/>
        <w:spacing w:line="360" w:lineRule="auto"/>
        <w:contextualSpacing/>
        <w:rPr>
          <w:rFonts w:cs="Arial"/>
        </w:rPr>
      </w:pPr>
      <w:r>
        <w:rPr>
          <w:rFonts w:cs="Arial"/>
        </w:rPr>
        <w:t>The City is consistent with HUD’s lead based</w:t>
      </w:r>
      <w:r w:rsidR="00B17BA6">
        <w:rPr>
          <w:rFonts w:cs="Arial"/>
        </w:rPr>
        <w:t> paint</w:t>
      </w:r>
      <w:r>
        <w:rPr>
          <w:rFonts w:cs="Arial"/>
        </w:rPr>
        <w:t xml:space="preserve"> regulations and requirement including safe lead work practices as needed for all housing rehab projects including the Emergency Repair Program.  Federal regulations require that lead hazard evaluation and reduction be carried out for all CDBG activities receiving housing assistance for those houses that were constructed before 1978.  New Directions Housing Corporation, the City’s partner with housing programs internally evaluated and assessed</w:t>
      </w:r>
      <w:r w:rsidR="00B17BA6">
        <w:rPr>
          <w:rFonts w:cs="Arial"/>
        </w:rPr>
        <w:t> the</w:t>
      </w:r>
      <w:r>
        <w:rPr>
          <w:rFonts w:cs="Arial"/>
        </w:rPr>
        <w:t xml:space="preserve"> paint hazards on all project sites and determined that all of the emergency repairs required no further clearance.  The “Protect Your Family from Lead in Your Home” pamphlet</w:t>
      </w:r>
      <w:r w:rsidR="00B17BA6">
        <w:rPr>
          <w:rFonts w:cs="Arial"/>
        </w:rPr>
        <w:t> was</w:t>
      </w:r>
      <w:r>
        <w:rPr>
          <w:rFonts w:cs="Arial"/>
        </w:rPr>
        <w:t xml:space="preserve"> distributed to rehab participants</w:t>
      </w:r>
      <w:r w:rsidR="00B17BA6">
        <w:rPr>
          <w:rFonts w:cs="Arial"/>
        </w:rPr>
        <w:t> of</w:t>
      </w:r>
      <w:r>
        <w:rPr>
          <w:rFonts w:cs="Arial"/>
        </w:rPr>
        <w:t xml:space="preserve"> the Emergency Repair Program as applicable.</w:t>
      </w:r>
    </w:p>
    <w:p w:rsidR="00A94410" w:rsidRDefault="00A94410" w:rsidP="00481401">
      <w:pPr>
        <w:widowControl w:val="0"/>
        <w:spacing w:line="360" w:lineRule="auto"/>
        <w:contextualSpacing/>
        <w:rPr>
          <w:rFonts w:cs="Arial"/>
        </w:rPr>
      </w:pPr>
    </w:p>
    <w:p w:rsidR="00A94410" w:rsidRDefault="008E5BB0" w:rsidP="00481401">
      <w:pPr>
        <w:widowControl w:val="0"/>
        <w:spacing w:line="360" w:lineRule="auto"/>
        <w:contextualSpacing/>
        <w:rPr>
          <w:b/>
          <w:sz w:val="24"/>
          <w:szCs w:val="24"/>
        </w:rPr>
      </w:pPr>
      <w:r>
        <w:rPr>
          <w:b/>
          <w:sz w:val="24"/>
          <w:szCs w:val="24"/>
        </w:rPr>
        <w:t>Actions taken to reduce the number of poverty-level families. 91.220(k); 91.320(j)</w:t>
      </w:r>
    </w:p>
    <w:p w:rsidR="00A94410" w:rsidRDefault="008E5BB0" w:rsidP="00F8120E">
      <w:pPr>
        <w:widowControl w:val="0"/>
        <w:spacing w:line="360" w:lineRule="auto"/>
        <w:contextualSpacing/>
        <w:rPr>
          <w:rFonts w:cs="Arial"/>
        </w:rPr>
      </w:pPr>
      <w:r>
        <w:rPr>
          <w:rFonts w:cs="Arial"/>
        </w:rPr>
        <w:t>The City in partnership with local social service and housing providers in the community, strive to help households</w:t>
      </w:r>
      <w:r w:rsidR="00B17BA6">
        <w:rPr>
          <w:rFonts w:cs="Arial"/>
        </w:rPr>
        <w:t> elevate</w:t>
      </w:r>
      <w:r>
        <w:rPr>
          <w:rFonts w:cs="Arial"/>
        </w:rPr>
        <w:t xml:space="preserve"> themselves out of living in poverty by supporting services aimed at developing self-sufficiency</w:t>
      </w:r>
      <w:r w:rsidR="00B17BA6">
        <w:rPr>
          <w:rFonts w:cs="Arial"/>
        </w:rPr>
        <w:t> and</w:t>
      </w:r>
      <w:r>
        <w:rPr>
          <w:rFonts w:cs="Arial"/>
        </w:rPr>
        <w:t xml:space="preserve"> creating jobs.  All CDBG RFPs, bids, contracts, and agreements identify and encourage Section 3.  We promote Section 3, on the City’s website and postings in the City-County Building.  However, the smaller contracts that we generally execute due to funding restrictions don’t usually require contractors and agencies to hire additional employees to complete the project.</w:t>
      </w:r>
    </w:p>
    <w:p w:rsidR="00DF44AF" w:rsidRDefault="00DF44AF" w:rsidP="00F8120E">
      <w:pPr>
        <w:widowControl w:val="0"/>
        <w:spacing w:line="360" w:lineRule="auto"/>
        <w:contextualSpacing/>
        <w:rPr>
          <w:rFonts w:cs="Arial"/>
        </w:rPr>
      </w:pPr>
    </w:p>
    <w:p w:rsidR="00A94410" w:rsidRDefault="008E5BB0" w:rsidP="00F8120E">
      <w:pPr>
        <w:widowControl w:val="0"/>
        <w:spacing w:line="360" w:lineRule="auto"/>
        <w:contextualSpacing/>
        <w:rPr>
          <w:rFonts w:cs="Arial"/>
        </w:rPr>
      </w:pPr>
      <w:r w:rsidRPr="008A491A">
        <w:rPr>
          <w:rFonts w:cs="Arial"/>
        </w:rPr>
        <w:t>The NAHA assists the largest population of poverty-level families in the jurisdiction.  Over 300 families access the supportive services provided i.e., case management and self-sufficiency tools, which have allowed the residents to remain in public housing for a longer period until they have sufficient skills to maintain the income level  needed to support self-sufficiency.  Nearly</w:t>
      </w:r>
      <w:r w:rsidR="00B17BA6" w:rsidRPr="008A491A">
        <w:rPr>
          <w:rFonts w:cs="Arial"/>
        </w:rPr>
        <w:t> 60</w:t>
      </w:r>
      <w:r w:rsidRPr="008A491A">
        <w:rPr>
          <w:rFonts w:cs="Arial"/>
        </w:rPr>
        <w:t>% of the admissions to NAHA program are elderly/disabled or homeless families.  The NAHA provides free GED classes and assists with the test fee.  A fulltime case manager reviews the individuals &amp; families needs to maintain self-sufficiency.  Additional programs such as credit remediation, budgeting and home ownership classes are provided and a computer lab is available so that residents can use the internet to access links to community resources for work programs and social services and activities.  Escrow accounts are encouraged.</w:t>
      </w:r>
    </w:p>
    <w:p w:rsidR="00A94410" w:rsidRDefault="008E5BB0" w:rsidP="00F8120E">
      <w:pPr>
        <w:widowControl w:val="0"/>
        <w:spacing w:line="360" w:lineRule="auto"/>
        <w:contextualSpacing/>
        <w:rPr>
          <w:rFonts w:cs="Arial"/>
        </w:rPr>
      </w:pPr>
      <w:r>
        <w:rPr>
          <w:rFonts w:cs="Arial"/>
        </w:rPr>
        <w:t> </w:t>
      </w:r>
    </w:p>
    <w:p w:rsidR="00A94410" w:rsidRDefault="008E5BB0" w:rsidP="00F8120E">
      <w:pPr>
        <w:widowControl w:val="0"/>
        <w:spacing w:line="360" w:lineRule="auto"/>
        <w:contextualSpacing/>
        <w:rPr>
          <w:b/>
          <w:sz w:val="24"/>
          <w:szCs w:val="24"/>
        </w:rPr>
      </w:pPr>
      <w:r>
        <w:rPr>
          <w:b/>
          <w:sz w:val="24"/>
          <w:szCs w:val="24"/>
        </w:rPr>
        <w:t>Actions taken to develop institutional structure. 91.220(k); 91.320(j)</w:t>
      </w:r>
    </w:p>
    <w:p w:rsidR="00A94410" w:rsidRDefault="008E5BB0" w:rsidP="00F8120E">
      <w:pPr>
        <w:widowControl w:val="0"/>
        <w:spacing w:line="360" w:lineRule="auto"/>
        <w:contextualSpacing/>
        <w:rPr>
          <w:rFonts w:cs="Arial"/>
        </w:rPr>
      </w:pPr>
      <w:r>
        <w:rPr>
          <w:rFonts w:cs="Arial"/>
        </w:rPr>
        <w:t xml:space="preserve">City departments such as the Board of Public Works and Safety, New Albany City Plan Commission, Department of Inspection, and other boards and commissions including the New Albany Redevelopment </w:t>
      </w:r>
      <w:r>
        <w:rPr>
          <w:rFonts w:cs="Arial"/>
        </w:rPr>
        <w:lastRenderedPageBreak/>
        <w:t xml:space="preserve">Authority and the New Albany Historic Preservation Commission assist the New Albany Redevelopment Department which is the responsible entity for the administration of the CDBG Programs.  </w:t>
      </w:r>
      <w:r w:rsidR="00DF44AF">
        <w:rPr>
          <w:rFonts w:cs="Arial"/>
        </w:rPr>
        <w:t xml:space="preserve"> </w:t>
      </w:r>
      <w:r>
        <w:rPr>
          <w:rFonts w:cs="Arial"/>
        </w:rPr>
        <w:t>The City continues to foster partnerships between non-profit and for-profit agencies in the expansion of the supply of safe and affordable housing and the delivery of social service activities.  The objectives of these agencies and the City are to expand the supply of safe, decent and affordable housing, assist the homeless, and provide public and social services.</w:t>
      </w:r>
    </w:p>
    <w:p w:rsidR="00A94410" w:rsidRDefault="00A94410" w:rsidP="00F8120E">
      <w:pPr>
        <w:widowControl w:val="0"/>
        <w:spacing w:line="360" w:lineRule="auto"/>
        <w:contextualSpacing/>
        <w:rPr>
          <w:rFonts w:cs="Arial"/>
        </w:rPr>
      </w:pPr>
    </w:p>
    <w:p w:rsidR="00A94410" w:rsidRDefault="008E5BB0" w:rsidP="00F8120E">
      <w:pPr>
        <w:widowControl w:val="0"/>
        <w:spacing w:line="360" w:lineRule="auto"/>
        <w:contextualSpacing/>
        <w:rPr>
          <w:b/>
          <w:sz w:val="24"/>
          <w:szCs w:val="24"/>
        </w:rPr>
      </w:pPr>
      <w:r>
        <w:rPr>
          <w:b/>
          <w:sz w:val="24"/>
          <w:szCs w:val="24"/>
        </w:rPr>
        <w:t>Actions taken to enhance coordination between public and private housing and social service agencies. 91.220(k); 91.320(j)</w:t>
      </w:r>
    </w:p>
    <w:p w:rsidR="00A94410" w:rsidRDefault="008E5BB0" w:rsidP="00F8120E">
      <w:pPr>
        <w:widowControl w:val="0"/>
        <w:spacing w:line="360" w:lineRule="auto"/>
        <w:contextualSpacing/>
        <w:rPr>
          <w:rFonts w:cs="Arial"/>
        </w:rPr>
      </w:pPr>
      <w:r>
        <w:rPr>
          <w:rFonts w:cs="Arial"/>
        </w:rPr>
        <w:t xml:space="preserve">The City partners with numerous housing and social service agencies including but not limited to; New Directions Housing Corporation, Habitat for Humanity, private housing developers, New Albany Housing Authority, </w:t>
      </w:r>
      <w:proofErr w:type="spellStart"/>
      <w:r>
        <w:rPr>
          <w:rFonts w:cs="Arial"/>
        </w:rPr>
        <w:t>LifeSpan</w:t>
      </w:r>
      <w:proofErr w:type="spellEnd"/>
      <w:r>
        <w:rPr>
          <w:rFonts w:cs="Arial"/>
        </w:rPr>
        <w:t xml:space="preserve"> Resources, Hope Southern Indiana, and the Floyd County Step Ahead Consortium (Our Place Drug &amp; Alcohol, Floyd County Youth Services, YMCA of </w:t>
      </w:r>
      <w:proofErr w:type="spellStart"/>
      <w:r>
        <w:rPr>
          <w:rFonts w:cs="Arial"/>
        </w:rPr>
        <w:t>Kentuckiana</w:t>
      </w:r>
      <w:proofErr w:type="spellEnd"/>
      <w:r>
        <w:rPr>
          <w:rFonts w:cs="Arial"/>
        </w:rPr>
        <w:t xml:space="preserve">).   Many of these are funded in part and implement </w:t>
      </w:r>
      <w:r w:rsidR="00B17BA6">
        <w:rPr>
          <w:rFonts w:cs="Arial"/>
        </w:rPr>
        <w:t>programs for</w:t>
      </w:r>
      <w:r>
        <w:rPr>
          <w:rFonts w:cs="Arial"/>
        </w:rPr>
        <w:t xml:space="preserve"> the Community Development Block Grant.  The Department of Redevelopment and the City Plan Commission have continued to coordinate with the New Albany Housing Authority to enhance and expand the affordable housing stock while decentralizing public housing.  The City continues to support the efforts to build capacity with members of local housing providers.</w:t>
      </w:r>
    </w:p>
    <w:p w:rsidR="00A94410" w:rsidRDefault="00A94410" w:rsidP="00F8120E">
      <w:pPr>
        <w:widowControl w:val="0"/>
        <w:spacing w:line="360" w:lineRule="auto"/>
        <w:contextualSpacing/>
        <w:rPr>
          <w:rFonts w:cs="Arial"/>
        </w:rPr>
      </w:pPr>
    </w:p>
    <w:p w:rsidR="00A94410" w:rsidRDefault="008E5BB0" w:rsidP="00F8120E">
      <w:pPr>
        <w:widowControl w:val="0"/>
        <w:spacing w:line="360" w:lineRule="auto"/>
        <w:contextualSpacing/>
        <w:rPr>
          <w:b/>
          <w:sz w:val="24"/>
          <w:szCs w:val="24"/>
        </w:rPr>
      </w:pPr>
      <w:r>
        <w:rPr>
          <w:b/>
          <w:sz w:val="24"/>
          <w:szCs w:val="24"/>
        </w:rPr>
        <w:t>Identify actions taken to overcome the effects of any impediments identified in the jurisdictions analysis of impediments to fair housing choice.  91.520(a)</w:t>
      </w:r>
    </w:p>
    <w:p w:rsidR="00F8120E" w:rsidRDefault="008E5BB0" w:rsidP="00F8120E">
      <w:pPr>
        <w:widowControl w:val="0"/>
        <w:spacing w:line="360" w:lineRule="auto"/>
        <w:contextualSpacing/>
        <w:rPr>
          <w:rFonts w:cs="Arial"/>
        </w:rPr>
      </w:pPr>
      <w:r>
        <w:rPr>
          <w:rFonts w:cs="Arial"/>
        </w:rPr>
        <w:t>The Fair Housing Officer works in connection with the Building Department staff to identify Fair Housing complaints as opposed to landlord tenant complaints.  The Fair Housing Officer's delegate facilitated a workshop for the Building Department to review the seven (7) protected classes of the Fair Housing Act and provided information on the steps that need to be followed when filling out a fair housing complaint.  A video "Reasonable Accommodation, Fair Housing Act, and Section 504 Training" was reviewed by the staff and a Fair Housing quiz testing knowledge was conducted. Brochures with additional information were handed out and made available on the City’s website and posted in the City-County Building. The Building Department Office tracks Fair Housing calls in order to define whether they are fair housing or landlord tenant disputes. </w:t>
      </w:r>
    </w:p>
    <w:p w:rsidR="00F8120E" w:rsidRDefault="00F8120E" w:rsidP="00F8120E">
      <w:pPr>
        <w:widowControl w:val="0"/>
        <w:spacing w:line="360" w:lineRule="auto"/>
        <w:contextualSpacing/>
        <w:rPr>
          <w:rFonts w:cs="Arial"/>
        </w:rPr>
      </w:pPr>
    </w:p>
    <w:p w:rsidR="00A94410" w:rsidRPr="00F8120E" w:rsidRDefault="008E5BB0" w:rsidP="00F8120E">
      <w:pPr>
        <w:widowControl w:val="0"/>
        <w:spacing w:line="360" w:lineRule="auto"/>
        <w:contextualSpacing/>
        <w:rPr>
          <w:b/>
          <w:i/>
          <w:sz w:val="28"/>
          <w:szCs w:val="28"/>
        </w:rPr>
      </w:pPr>
      <w:r w:rsidRPr="00F8120E">
        <w:rPr>
          <w:b/>
          <w:i/>
          <w:sz w:val="28"/>
          <w:szCs w:val="28"/>
        </w:rPr>
        <w:lastRenderedPageBreak/>
        <w:t>CR-40 - Monitoring 91.220 and 91.230</w:t>
      </w:r>
    </w:p>
    <w:p w:rsidR="00A94410" w:rsidRDefault="008E5BB0">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A94410" w:rsidRDefault="008E5BB0" w:rsidP="00481401">
      <w:pPr>
        <w:widowControl w:val="0"/>
        <w:spacing w:line="360" w:lineRule="auto"/>
        <w:contextualSpacing/>
        <w:rPr>
          <w:rFonts w:cs="Arial"/>
        </w:rPr>
      </w:pPr>
      <w:r>
        <w:rPr>
          <w:rFonts w:cs="Arial"/>
        </w:rPr>
        <w:t xml:space="preserve">Subrecipient Agreements or contracts are required for all projects and activities undertaken.  Infrastructure and park facility projects require engineers and architects as well as contractors to execute a contract consistent with all federal </w:t>
      </w:r>
      <w:proofErr w:type="spellStart"/>
      <w:r>
        <w:rPr>
          <w:rFonts w:cs="Arial"/>
        </w:rPr>
        <w:t>requlations</w:t>
      </w:r>
      <w:proofErr w:type="spellEnd"/>
      <w:r>
        <w:rPr>
          <w:rFonts w:cs="Arial"/>
        </w:rPr>
        <w:t xml:space="preserve">.  Public service and housing program providers are required to execute a Subrecipient Agreement specific to the services they will provide and consistent with federal regulations.   The Redevelopment staff review all incoming invoices prior to processing for payment.  Architects/Engineers and Redevelopment staff review payment applications from contractors to ensure accountability.  Infrastructure and park facility projects are monitored through weekly staff and/or engineer/architect inspections.  Davis Bacon projects are monitored </w:t>
      </w:r>
      <w:proofErr w:type="spellStart"/>
      <w:r>
        <w:rPr>
          <w:rFonts w:cs="Arial"/>
        </w:rPr>
        <w:t>weeky</w:t>
      </w:r>
      <w:proofErr w:type="spellEnd"/>
      <w:r>
        <w:rPr>
          <w:rFonts w:cs="Arial"/>
        </w:rPr>
        <w:t xml:space="preserve"> through certified payrolls and inspections as well as employee interviews as required.  Subrecipients are required to submit quarterly reports to ensure compliance.  </w:t>
      </w:r>
    </w:p>
    <w:p w:rsidR="00F8120E" w:rsidRDefault="00F8120E" w:rsidP="00481401">
      <w:pPr>
        <w:widowControl w:val="0"/>
        <w:spacing w:line="360" w:lineRule="auto"/>
        <w:contextualSpacing/>
        <w:rPr>
          <w:rFonts w:cs="Arial"/>
        </w:rPr>
      </w:pPr>
    </w:p>
    <w:p w:rsidR="00A94410" w:rsidRDefault="008E5BB0" w:rsidP="00481401">
      <w:pPr>
        <w:widowControl w:val="0"/>
        <w:spacing w:line="360" w:lineRule="auto"/>
        <w:contextualSpacing/>
        <w:rPr>
          <w:rFonts w:cs="Arial"/>
        </w:rPr>
      </w:pPr>
      <w:r>
        <w:rPr>
          <w:rFonts w:cs="Arial"/>
        </w:rPr>
        <w:t xml:space="preserve">The Financial Compliance Manager prepares an ongoing Spend Down worksheet providing an analysis of all projects that is used to alert staff to slow spending or stalled projects and a risk analysis to indicate which Subrecipients meet the criteria for risk and need to be monitored.  Remote </w:t>
      </w:r>
      <w:proofErr w:type="spellStart"/>
      <w:r>
        <w:rPr>
          <w:rFonts w:cs="Arial"/>
        </w:rPr>
        <w:t>monitorings</w:t>
      </w:r>
      <w:proofErr w:type="spellEnd"/>
      <w:r>
        <w:rPr>
          <w:rFonts w:cs="Arial"/>
        </w:rPr>
        <w:t xml:space="preserve"> were conducted for a few of the Subrecipients.  Due to staff shortage and the Coronavirus restrictions continued monitoring will be </w:t>
      </w:r>
      <w:r w:rsidR="00B17BA6">
        <w:rPr>
          <w:rFonts w:cs="Arial"/>
        </w:rPr>
        <w:t>completed in</w:t>
      </w:r>
      <w:r>
        <w:rPr>
          <w:rFonts w:cs="Arial"/>
        </w:rPr>
        <w:t xml:space="preserve"> the coming months.  Technical assistance was provided to all Subrecipients and contractors which covers reporting and documentation requirements, cost eligibility, Section 3, and the </w:t>
      </w:r>
      <w:r w:rsidR="00B17BA6">
        <w:rPr>
          <w:rFonts w:cs="Arial"/>
        </w:rPr>
        <w:t>OMB.</w:t>
      </w:r>
      <w:r>
        <w:rPr>
          <w:rFonts w:cs="Arial"/>
        </w:rPr>
        <w:t xml:space="preserve">  </w:t>
      </w:r>
    </w:p>
    <w:p w:rsidR="00CF44B5" w:rsidRDefault="00CF44B5" w:rsidP="00481401">
      <w:pPr>
        <w:widowControl w:val="0"/>
        <w:spacing w:line="360" w:lineRule="auto"/>
        <w:contextualSpacing/>
        <w:rPr>
          <w:rFonts w:cs="Arial"/>
        </w:rPr>
      </w:pPr>
    </w:p>
    <w:p w:rsidR="00A94410" w:rsidRDefault="008E5BB0" w:rsidP="00481401">
      <w:pPr>
        <w:widowControl w:val="0"/>
        <w:spacing w:line="360" w:lineRule="auto"/>
        <w:contextualSpacing/>
        <w:rPr>
          <w:rFonts w:cs="Arial"/>
        </w:rPr>
      </w:pPr>
      <w:r>
        <w:rPr>
          <w:rFonts w:cs="Arial"/>
        </w:rPr>
        <w:t xml:space="preserve">The Department of Redevelopment uses its best efforts to encourage minority and women business enterprises with the maximum opportunity by way of including language in all CDBG funded Request for Proposals/Qualifications, Invitations to Bid, and legal advertisements.  </w:t>
      </w:r>
      <w:r w:rsidR="00882C2C">
        <w:rPr>
          <w:rFonts w:cs="Arial"/>
        </w:rPr>
        <w:t xml:space="preserve">The City contracted with a MBE/WBE business to prepare the Analysis of Impediment and the 2020-2024 Consolidated Plan during FY19.  </w:t>
      </w:r>
      <w:r>
        <w:rPr>
          <w:rFonts w:cs="Arial"/>
        </w:rPr>
        <w:t xml:space="preserve">All contracts and Subrecipient Agreements include language for inclusion of participation of MBE &amp; WBE.   </w:t>
      </w:r>
    </w:p>
    <w:p w:rsidR="00A94410" w:rsidRDefault="00A94410" w:rsidP="00481401">
      <w:pPr>
        <w:widowControl w:val="0"/>
        <w:spacing w:line="360" w:lineRule="auto"/>
        <w:contextualSpacing/>
        <w:rPr>
          <w:rFonts w:cs="Arial"/>
        </w:rPr>
      </w:pPr>
    </w:p>
    <w:p w:rsidR="00A94410" w:rsidRDefault="008E5BB0" w:rsidP="00481401">
      <w:pPr>
        <w:widowControl w:val="0"/>
        <w:spacing w:line="360" w:lineRule="auto"/>
        <w:contextualSpacing/>
        <w:rPr>
          <w:b/>
          <w:sz w:val="24"/>
          <w:szCs w:val="24"/>
        </w:rPr>
      </w:pPr>
      <w:r>
        <w:rPr>
          <w:b/>
          <w:sz w:val="24"/>
          <w:szCs w:val="24"/>
        </w:rPr>
        <w:t>Citizen Participation Plan 91.105(d); 91.115(d)</w:t>
      </w:r>
    </w:p>
    <w:p w:rsidR="00A94410" w:rsidRDefault="008E5BB0" w:rsidP="00481401">
      <w:pPr>
        <w:widowControl w:val="0"/>
        <w:spacing w:line="360" w:lineRule="auto"/>
        <w:contextualSpacing/>
        <w:rPr>
          <w:sz w:val="24"/>
          <w:szCs w:val="24"/>
        </w:rPr>
      </w:pPr>
      <w:r>
        <w:rPr>
          <w:b/>
          <w:sz w:val="24"/>
          <w:szCs w:val="24"/>
        </w:rPr>
        <w:lastRenderedPageBreak/>
        <w:t>Describe the efforts to provide citizens with reasonable notice and an opportunity to comment on performance reports</w:t>
      </w:r>
      <w:r>
        <w:rPr>
          <w:sz w:val="24"/>
          <w:szCs w:val="24"/>
        </w:rPr>
        <w:t>.</w:t>
      </w:r>
    </w:p>
    <w:p w:rsidR="00A94410" w:rsidRDefault="008E5BB0" w:rsidP="00F8120E">
      <w:pPr>
        <w:spacing w:line="360" w:lineRule="auto"/>
        <w:contextualSpacing/>
      </w:pPr>
      <w:r>
        <w:t xml:space="preserve">A virtual public hearing was held by the New Albany Redevelopment Commission on November 10, 2020, at which time the report was made available to the public and a 15-day review and comment period commenced.  The report was distributed to several public locations for review including the City-County Building, New Albany-Floyd County Library, and the New Albany Housing Authority.  This report and notice of the public hearing was posted on the City’s website as well.   A notice of the public hearing was published in the local newspaper (News &amp; Tribune) on October 30th.  The Redevelopment Department contacted community agencies directly to request input into the CAPER.  The Redevelopment Department includes the following language on all meeting agendas/notices:  </w:t>
      </w:r>
      <w:r>
        <w:rPr>
          <w:i/>
        </w:rPr>
        <w:t xml:space="preserve">SPECIAL ASSISTANCE TO THE DISABLE OR HANDICAPED-Disabled, handicapped, or non-English speaking individuals who may require reasonable accommodations to attend a meeting may make their request known by contacting in advance the Department of Redevelopment at 812-918-5333 (Voice) or Indiana Statewide  Relay at 1-800-743-3333 (Hearing Impaired). </w:t>
      </w:r>
      <w:r>
        <w:t xml:space="preserve">  The Hispanic Connection of Southern Indiana has been available to translate for the Redevelopment Department as needed.  </w:t>
      </w:r>
    </w:p>
    <w:p w:rsidR="00A94410" w:rsidRDefault="008E5BB0" w:rsidP="00F8120E">
      <w:pPr>
        <w:spacing w:line="360" w:lineRule="auto"/>
        <w:contextualSpacing/>
      </w:pPr>
      <w:r>
        <w:t>If comments on the report are received they will be included as an attachment to the CAPER submitted to HUD. </w:t>
      </w:r>
    </w:p>
    <w:p w:rsidR="00A94410" w:rsidRDefault="00A94410">
      <w:pPr>
        <w:spacing w:beforeAutospacing="1" w:afterAutospacing="1"/>
      </w:pPr>
    </w:p>
    <w:p w:rsidR="00A94410" w:rsidRDefault="008E5BB0">
      <w:pPr>
        <w:rPr>
          <w:b/>
          <w:i/>
          <w:sz w:val="28"/>
          <w:szCs w:val="28"/>
        </w:rPr>
      </w:pPr>
      <w:r>
        <w:rPr>
          <w:b/>
          <w:sz w:val="28"/>
          <w:szCs w:val="28"/>
        </w:rPr>
        <w:t>CR-45 - CDBG 91.520(c)</w:t>
      </w:r>
    </w:p>
    <w:p w:rsidR="00A94410" w:rsidRDefault="008E5BB0">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A94410" w:rsidRDefault="008E5BB0">
      <w:pPr>
        <w:widowControl w:val="0"/>
        <w:spacing w:beforeAutospacing="1" w:afterAutospacing="1"/>
        <w:rPr>
          <w:rFonts w:cs="Arial"/>
        </w:rPr>
      </w:pPr>
      <w:r>
        <w:rPr>
          <w:rFonts w:cs="Arial"/>
        </w:rPr>
        <w:t>There have been no changes discussed for the program objectives at this time.</w:t>
      </w:r>
    </w:p>
    <w:p w:rsidR="00A94410" w:rsidRDefault="008E5BB0">
      <w:pPr>
        <w:widowControl w:val="0"/>
        <w:rPr>
          <w:b/>
          <w:sz w:val="24"/>
          <w:szCs w:val="24"/>
        </w:rPr>
      </w:pPr>
      <w:r>
        <w:rPr>
          <w:b/>
          <w:sz w:val="24"/>
          <w:szCs w:val="24"/>
        </w:rPr>
        <w:t xml:space="preserve">Does this Jurisdiction have any open </w:t>
      </w:r>
      <w:proofErr w:type="spellStart"/>
      <w:r>
        <w:rPr>
          <w:b/>
          <w:sz w:val="24"/>
          <w:szCs w:val="24"/>
        </w:rPr>
        <w:t>Brownfields</w:t>
      </w:r>
      <w:proofErr w:type="spellEnd"/>
      <w:r>
        <w:rPr>
          <w:b/>
          <w:sz w:val="24"/>
          <w:szCs w:val="24"/>
        </w:rPr>
        <w:t xml:space="preserve"> Economic Development Initiative (BEDI) grants?</w:t>
      </w:r>
    </w:p>
    <w:p w:rsidR="00F8120E" w:rsidRDefault="008E5BB0" w:rsidP="00F8120E">
      <w:pPr>
        <w:widowControl w:val="0"/>
        <w:spacing w:beforeAutospacing="1" w:afterAutospacing="1"/>
        <w:rPr>
          <w:rFonts w:cs="Arial"/>
        </w:rPr>
      </w:pPr>
      <w:r>
        <w:rPr>
          <w:rFonts w:cs="Arial"/>
        </w:rPr>
        <w:t>No</w:t>
      </w:r>
    </w:p>
    <w:p w:rsidR="00A94410" w:rsidRDefault="00A94410">
      <w:pPr>
        <w:widowControl w:val="0"/>
        <w:rPr>
          <w:rFonts w:cs="Arial"/>
        </w:rPr>
      </w:pPr>
    </w:p>
    <w:p w:rsidR="00A94410" w:rsidRDefault="00A94410"/>
    <w:p w:rsidR="00A94410" w:rsidRDefault="00A94410"/>
    <w:p w:rsidR="00A94410" w:rsidRDefault="008E5BB0">
      <w:r>
        <w:lastRenderedPageBreak/>
        <w:br w:type="page"/>
      </w:r>
    </w:p>
    <w:p w:rsidR="00A94410" w:rsidRDefault="008E5BB0">
      <w:r>
        <w:rPr>
          <w:b/>
          <w:sz w:val="36"/>
          <w:szCs w:val="36"/>
        </w:rPr>
        <w:lastRenderedPageBreak/>
        <w:t>Public Hearing Notice</w:t>
      </w:r>
    </w:p>
    <w:p w:rsidR="00A94410" w:rsidRDefault="008E5BB0">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7"/>
                    <a:stretch>
                      <a:fillRect/>
                    </a:stretch>
                  </pic:blipFill>
                  <pic:spPr>
                    <a:xfrm>
                      <a:off x="0" y="0"/>
                      <a:ext cx="5943600" cy="7691718"/>
                    </a:xfrm>
                    <a:prstGeom prst="rect">
                      <a:avLst/>
                    </a:prstGeom>
                  </pic:spPr>
                </pic:pic>
              </a:graphicData>
            </a:graphic>
          </wp:inline>
        </w:drawing>
      </w:r>
    </w:p>
    <w:p w:rsidR="00A94410" w:rsidRDefault="008E5BB0">
      <w:r>
        <w:rPr>
          <w:b/>
          <w:sz w:val="36"/>
          <w:szCs w:val="36"/>
        </w:rPr>
        <w:lastRenderedPageBreak/>
        <w:t>R</w:t>
      </w:r>
      <w:r w:rsidR="00CF44B5">
        <w:rPr>
          <w:b/>
          <w:sz w:val="36"/>
          <w:szCs w:val="36"/>
        </w:rPr>
        <w:t xml:space="preserve">epair </w:t>
      </w:r>
      <w:r>
        <w:rPr>
          <w:b/>
          <w:sz w:val="36"/>
          <w:szCs w:val="36"/>
        </w:rPr>
        <w:t>A</w:t>
      </w:r>
      <w:r w:rsidR="00CF44B5">
        <w:rPr>
          <w:b/>
          <w:sz w:val="36"/>
          <w:szCs w:val="36"/>
        </w:rPr>
        <w:t>ffair</w:t>
      </w:r>
      <w:r>
        <w:rPr>
          <w:b/>
          <w:sz w:val="36"/>
          <w:szCs w:val="36"/>
        </w:rPr>
        <w:t xml:space="preserve"> Map</w:t>
      </w:r>
    </w:p>
    <w:p w:rsidR="00A94410" w:rsidRDefault="008E5BB0">
      <w:r>
        <w:rPr>
          <w:noProof/>
        </w:rPr>
        <w:drawing>
          <wp:inline distT="0" distB="0" distL="0" distR="0">
            <wp:extent cx="6353175" cy="5353050"/>
            <wp:effectExtent l="19050" t="0" r="9525"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8"/>
                    <a:stretch>
                      <a:fillRect/>
                    </a:stretch>
                  </pic:blipFill>
                  <pic:spPr>
                    <a:xfrm>
                      <a:off x="0" y="0"/>
                      <a:ext cx="6355571" cy="5355069"/>
                    </a:xfrm>
                    <a:prstGeom prst="rect">
                      <a:avLst/>
                    </a:prstGeom>
                  </pic:spPr>
                </pic:pic>
              </a:graphicData>
            </a:graphic>
          </wp:inline>
        </w:drawing>
      </w:r>
    </w:p>
    <w:p w:rsidR="00A94410" w:rsidRDefault="008E5BB0">
      <w:r>
        <w:br w:type="page"/>
      </w:r>
    </w:p>
    <w:p w:rsidR="00A94410" w:rsidRDefault="008E5BB0">
      <w:r>
        <w:rPr>
          <w:b/>
          <w:sz w:val="36"/>
          <w:szCs w:val="36"/>
        </w:rPr>
        <w:lastRenderedPageBreak/>
        <w:t>E</w:t>
      </w:r>
      <w:r w:rsidR="00CF44B5">
        <w:rPr>
          <w:b/>
          <w:sz w:val="36"/>
          <w:szCs w:val="36"/>
        </w:rPr>
        <w:t xml:space="preserve">mergency </w:t>
      </w:r>
      <w:r>
        <w:rPr>
          <w:b/>
          <w:sz w:val="36"/>
          <w:szCs w:val="36"/>
        </w:rPr>
        <w:t>R</w:t>
      </w:r>
      <w:r w:rsidR="00CF44B5">
        <w:rPr>
          <w:b/>
          <w:sz w:val="36"/>
          <w:szCs w:val="36"/>
        </w:rPr>
        <w:t xml:space="preserve">epair </w:t>
      </w:r>
      <w:r>
        <w:rPr>
          <w:b/>
          <w:sz w:val="36"/>
          <w:szCs w:val="36"/>
        </w:rPr>
        <w:t>P</w:t>
      </w:r>
      <w:r w:rsidR="00CF44B5">
        <w:rPr>
          <w:b/>
          <w:sz w:val="36"/>
          <w:szCs w:val="36"/>
        </w:rPr>
        <w:t>rogram</w:t>
      </w:r>
      <w:r>
        <w:rPr>
          <w:b/>
          <w:sz w:val="36"/>
          <w:szCs w:val="36"/>
        </w:rPr>
        <w:t xml:space="preserve"> Map</w:t>
      </w:r>
    </w:p>
    <w:p w:rsidR="00B76A60" w:rsidRDefault="008E5BB0">
      <w:r>
        <w:rPr>
          <w:noProof/>
        </w:rPr>
        <w:drawing>
          <wp:inline distT="0" distB="0" distL="0" distR="0">
            <wp:extent cx="5941358" cy="6076950"/>
            <wp:effectExtent l="19050" t="0" r="2242"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9"/>
                    <a:stretch>
                      <a:fillRect/>
                    </a:stretch>
                  </pic:blipFill>
                  <pic:spPr>
                    <a:xfrm>
                      <a:off x="0" y="0"/>
                      <a:ext cx="5943600" cy="6079243"/>
                    </a:xfrm>
                    <a:prstGeom prst="rect">
                      <a:avLst/>
                    </a:prstGeom>
                  </pic:spPr>
                </pic:pic>
              </a:graphicData>
            </a:graphic>
          </wp:inline>
        </w:drawing>
      </w:r>
    </w:p>
    <w:p w:rsidR="00B76A60" w:rsidRDefault="00B76A60">
      <w:pPr>
        <w:spacing w:after="0" w:line="240" w:lineRule="auto"/>
      </w:pPr>
      <w:r>
        <w:br w:type="page"/>
      </w:r>
    </w:p>
    <w:tbl>
      <w:tblPr>
        <w:tblW w:w="9360" w:type="dxa"/>
        <w:tblInd w:w="108" w:type="dxa"/>
        <w:tblLook w:val="04A0"/>
      </w:tblPr>
      <w:tblGrid>
        <w:gridCol w:w="1202"/>
        <w:gridCol w:w="637"/>
        <w:gridCol w:w="612"/>
        <w:gridCol w:w="1208"/>
        <w:gridCol w:w="1091"/>
        <w:gridCol w:w="2203"/>
        <w:gridCol w:w="487"/>
        <w:gridCol w:w="266"/>
        <w:gridCol w:w="352"/>
        <w:gridCol w:w="373"/>
        <w:gridCol w:w="771"/>
        <w:gridCol w:w="266"/>
      </w:tblGrid>
      <w:tr w:rsidR="00B76A60" w:rsidRPr="00B76A60" w:rsidTr="00B76A60">
        <w:trPr>
          <w:trHeight w:val="270"/>
        </w:trPr>
        <w:tc>
          <w:tcPr>
            <w:tcW w:w="1397" w:type="dxa"/>
            <w:gridSpan w:val="2"/>
            <w:vMerge w:val="restart"/>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62050" cy="552450"/>
                  <wp:effectExtent l="0" t="0" r="0" b="0"/>
                  <wp:wrapNone/>
                  <wp:docPr id="69" name="Picture 1"/>
                  <wp:cNvGraphicFramePr/>
                  <a:graphic xmlns:a="http://schemas.openxmlformats.org/drawingml/2006/main">
                    <a:graphicData uri="http://schemas.openxmlformats.org/drawingml/2006/picture">
                      <pic:pic xmlns:pic="http://schemas.openxmlformats.org/drawingml/2006/picture">
                        <pic:nvPicPr>
                          <pic:cNvPr id="2" name="Picture 1" descr="HUD_LOGO.GIF"/>
                          <pic:cNvPicPr>
                            <a:picLocks noChangeAspect="1"/>
                          </pic:cNvPicPr>
                        </pic:nvPicPr>
                        <pic:blipFill>
                          <a:blip r:link="rId130" cstate="print"/>
                          <a:stretch>
                            <a:fillRect/>
                          </a:stretch>
                        </pic:blipFill>
                        <pic:spPr>
                          <a:xfrm>
                            <a:off x="0" y="0"/>
                            <a:ext cx="1143000" cy="533400"/>
                          </a:xfrm>
                          <a:prstGeom prst="rect">
                            <a:avLst/>
                          </a:prstGeom>
                        </pic:spPr>
                      </pic:pic>
                    </a:graphicData>
                  </a:graphic>
                </wp:anchor>
              </w:drawing>
            </w:r>
          </w:p>
          <w:tbl>
            <w:tblPr>
              <w:tblW w:w="0" w:type="auto"/>
              <w:tblCellSpacing w:w="0" w:type="dxa"/>
              <w:tblCellMar>
                <w:left w:w="0" w:type="dxa"/>
                <w:right w:w="0" w:type="dxa"/>
              </w:tblCellMar>
              <w:tblLook w:val="04A0"/>
            </w:tblPr>
            <w:tblGrid>
              <w:gridCol w:w="1623"/>
            </w:tblGrid>
            <w:tr w:rsidR="00B76A60" w:rsidRPr="00B76A60">
              <w:trPr>
                <w:trHeight w:val="230"/>
                <w:tblCellSpacing w:w="0" w:type="dxa"/>
              </w:trPr>
              <w:tc>
                <w:tcPr>
                  <w:tcW w:w="1800" w:type="dxa"/>
                  <w:vMerge w:val="restart"/>
                  <w:tcBorders>
                    <w:top w:val="nil"/>
                    <w:left w:val="nil"/>
                    <w:bottom w:val="nil"/>
                    <w:right w:val="nil"/>
                  </w:tcBorders>
                  <w:shd w:val="clear" w:color="000000" w:fill="5ECBFF"/>
                  <w:noWrap/>
                  <w:vAlign w:val="center"/>
                  <w:hideMark/>
                </w:tcPr>
                <w:p w:rsidR="00B76A60" w:rsidRPr="00B76A60" w:rsidRDefault="00B76A60" w:rsidP="00B76A60">
                  <w:pPr>
                    <w:spacing w:after="0" w:line="240" w:lineRule="auto"/>
                    <w:jc w:val="right"/>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trPr>
                <w:trHeight w:val="230"/>
                <w:tblCellSpacing w:w="0" w:type="dxa"/>
              </w:trPr>
              <w:tc>
                <w:tcPr>
                  <w:tcW w:w="0" w:type="auto"/>
                  <w:vMerge/>
                  <w:tcBorders>
                    <w:top w:val="nil"/>
                    <w:left w:val="nil"/>
                    <w:bottom w:val="nil"/>
                    <w:right w:val="nil"/>
                  </w:tcBorders>
                  <w:vAlign w:val="center"/>
                  <w:hideMark/>
                </w:tcPr>
                <w:p w:rsidR="00B76A60" w:rsidRPr="00B76A60" w:rsidRDefault="00B76A60" w:rsidP="00B76A60">
                  <w:pPr>
                    <w:spacing w:after="0" w:line="240" w:lineRule="auto"/>
                    <w:rPr>
                      <w:rFonts w:ascii="Arial" w:eastAsia="Times New Roman" w:hAnsi="Arial" w:cs="Arial"/>
                      <w:color w:val="000000"/>
                      <w:sz w:val="20"/>
                      <w:szCs w:val="20"/>
                    </w:rPr>
                  </w:pPr>
                </w:p>
              </w:tc>
            </w:tr>
          </w:tbl>
          <w:p w:rsidR="00B76A60" w:rsidRPr="00B76A60" w:rsidRDefault="00B76A60" w:rsidP="00B76A60">
            <w:pPr>
              <w:spacing w:after="0" w:line="240" w:lineRule="auto"/>
              <w:rPr>
                <w:rFonts w:ascii="Arial" w:eastAsia="Times New Roman" w:hAnsi="Arial" w:cs="Arial"/>
                <w:color w:val="000000"/>
                <w:sz w:val="20"/>
                <w:szCs w:val="20"/>
              </w:rPr>
            </w:pPr>
          </w:p>
        </w:tc>
        <w:tc>
          <w:tcPr>
            <w:tcW w:w="66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983" w:type="dxa"/>
            <w:gridSpan w:val="3"/>
            <w:tcBorders>
              <w:top w:val="nil"/>
              <w:left w:val="nil"/>
              <w:bottom w:val="nil"/>
              <w:right w:val="nil"/>
            </w:tcBorders>
            <w:shd w:val="clear" w:color="000000" w:fill="5ECBFF"/>
            <w:noWrap/>
            <w:vAlign w:val="center"/>
            <w:hideMark/>
          </w:tcPr>
          <w:p w:rsidR="00B76A60" w:rsidRPr="00B76A60" w:rsidRDefault="00B76A60" w:rsidP="00B76A60">
            <w:pPr>
              <w:spacing w:after="0" w:line="240" w:lineRule="auto"/>
              <w:jc w:val="center"/>
              <w:rPr>
                <w:rFonts w:ascii="Tahoma" w:eastAsia="Times New Roman" w:hAnsi="Tahoma" w:cs="Tahoma"/>
                <w:color w:val="000000"/>
                <w:sz w:val="16"/>
                <w:szCs w:val="16"/>
              </w:rPr>
            </w:pPr>
            <w:r w:rsidRPr="00B76A60">
              <w:rPr>
                <w:rFonts w:ascii="Tahoma" w:eastAsia="Times New Roman" w:hAnsi="Tahoma" w:cs="Tahoma"/>
                <w:color w:val="000000"/>
                <w:sz w:val="16"/>
                <w:szCs w:val="16"/>
              </w:rPr>
              <w:t>PR26 - CDBG Financial Summary Report</w:t>
            </w:r>
          </w:p>
        </w:tc>
        <w:tc>
          <w:tcPr>
            <w:tcW w:w="521"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1397" w:type="dxa"/>
            <w:gridSpan w:val="2"/>
            <w:vMerge/>
            <w:tcBorders>
              <w:top w:val="nil"/>
              <w:left w:val="nil"/>
              <w:bottom w:val="nil"/>
              <w:right w:val="nil"/>
            </w:tcBorders>
            <w:vAlign w:val="center"/>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66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983" w:type="dxa"/>
            <w:gridSpan w:val="3"/>
            <w:tcBorders>
              <w:top w:val="nil"/>
              <w:left w:val="nil"/>
              <w:bottom w:val="nil"/>
              <w:right w:val="nil"/>
            </w:tcBorders>
            <w:shd w:val="clear" w:color="000000" w:fill="5ECBFF"/>
            <w:noWrap/>
            <w:vAlign w:val="center"/>
            <w:hideMark/>
          </w:tcPr>
          <w:p w:rsidR="00B76A60" w:rsidRPr="00B76A60" w:rsidRDefault="00B76A60" w:rsidP="00B76A60">
            <w:pPr>
              <w:spacing w:after="0" w:line="240" w:lineRule="auto"/>
              <w:jc w:val="center"/>
              <w:rPr>
                <w:rFonts w:ascii="Tahoma" w:eastAsia="Times New Roman" w:hAnsi="Tahoma" w:cs="Tahoma"/>
                <w:color w:val="000000"/>
                <w:sz w:val="16"/>
                <w:szCs w:val="16"/>
              </w:rPr>
            </w:pPr>
            <w:r w:rsidRPr="00B76A60">
              <w:rPr>
                <w:rFonts w:ascii="Tahoma" w:eastAsia="Times New Roman" w:hAnsi="Tahoma" w:cs="Tahoma"/>
                <w:color w:val="000000"/>
                <w:sz w:val="16"/>
                <w:szCs w:val="16"/>
              </w:rPr>
              <w:t>Program Year 2019</w:t>
            </w:r>
          </w:p>
        </w:tc>
        <w:tc>
          <w:tcPr>
            <w:tcW w:w="521"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1397" w:type="dxa"/>
            <w:gridSpan w:val="2"/>
            <w:vMerge/>
            <w:tcBorders>
              <w:top w:val="nil"/>
              <w:left w:val="nil"/>
              <w:bottom w:val="nil"/>
              <w:right w:val="nil"/>
            </w:tcBorders>
            <w:vAlign w:val="center"/>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66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983" w:type="dxa"/>
            <w:gridSpan w:val="3"/>
            <w:tcBorders>
              <w:top w:val="nil"/>
              <w:left w:val="nil"/>
              <w:bottom w:val="nil"/>
              <w:right w:val="nil"/>
            </w:tcBorders>
            <w:shd w:val="clear" w:color="000000" w:fill="5ECBFF"/>
            <w:noWrap/>
            <w:vAlign w:val="center"/>
            <w:hideMark/>
          </w:tcPr>
          <w:p w:rsidR="00B76A60" w:rsidRPr="00B76A60" w:rsidRDefault="00B76A60" w:rsidP="00B76A60">
            <w:pPr>
              <w:spacing w:after="0" w:line="240" w:lineRule="auto"/>
              <w:jc w:val="center"/>
              <w:rPr>
                <w:rFonts w:ascii="Tahoma" w:eastAsia="Times New Roman" w:hAnsi="Tahoma" w:cs="Tahoma"/>
                <w:color w:val="000000"/>
                <w:sz w:val="16"/>
                <w:szCs w:val="16"/>
              </w:rPr>
            </w:pPr>
            <w:r w:rsidRPr="00B76A60">
              <w:rPr>
                <w:rFonts w:ascii="Tahoma" w:eastAsia="Times New Roman" w:hAnsi="Tahoma" w:cs="Tahoma"/>
                <w:color w:val="000000"/>
                <w:sz w:val="16"/>
                <w:szCs w:val="16"/>
              </w:rPr>
              <w:t>NEW ALBANY , IN</w:t>
            </w:r>
          </w:p>
        </w:tc>
        <w:tc>
          <w:tcPr>
            <w:tcW w:w="521"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5ECBFF"/>
            <w:noWrap/>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PART I:   SUMMARY OF CDBG RESOURCES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01  UNEXPENDED CDBG FUNDS AT END OF PREVIOUS PROGRAM YEAR</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215,568.80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02  ENTITLEMENT GRANT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671,354.00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03  SURPLUS URBAN RENEWAL</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04  SECTION 108 GUARANTEED LOAN FUNDS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05  CURRENT YEAR PROGRAM INCOME</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05a CURRENT YEAR SECTION 108 PROGRAM INCOME (FOR SI TYPE)</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06 FUNDS RETURNED TO THE LINE-OF-CREDIT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06a FUNDS RETURNED TO THE LOCAL CDBG ACCOUNT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07  ADJUSTMENT TO COMPUTE TOTAL AVAILABLE</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08  TOTAL AVAILABLE (SUM, LINES 01-07)</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887,022.80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PART II:  SUMMARY OF CDBG EXPENDITURES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09  DISBURSEMENTS OTHER THAN SECTION 108 REPAYMENTS AND PLANNING/ADMINISTRATION</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427,471.00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10  ADJUSTMENT TO COMPUTE TOTAL AMOUNT SUBJECT TO LOW/MOD BENEFIT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  AMOUNT SUBJECT TO LOW/MOD BENEFIT (LINE 09 + LINE 10)</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427,471.00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12  DISBURSED IN IDIS FOR PLANNING/ADMINISTRATION</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88,226.52</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13  DISBURSED IN IDIS FOR SECTION 108 REPAYMENTS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14  ADJUSTMENT TO COMPUTE TOTAL EXPENDITURES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15  TOTAL EXPENDITURES (SUM, LINES 11-14)</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515,697.52</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16  UNEXPENDED BALANCE (LINE 08 - LINE 15)</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371,325.28</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PART III: LOWMOD BENEFIT THIS REPORTING PERIOD</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17  EXPENDED FOR LOW/MOD HOUSING IN SPECIAL AREAS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18  EXPENDED FOR LOW/MOD MULTI-UNIT HOUSING</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19  DISBURSED FOR OTHER LOW/MOD ACTIVITIES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427,471.00</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  ADJUSTMENT TO COMPUTE TOTAL LOW/MOD CREDIT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21  TOTAL LOW/MOD CREDIT (SUM, LINES 17-20)</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427,471.00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22  PERCENT LOW/MOD CREDIT (LINE 21/LINE 11)</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LOW/MOD BENEFIT FOR MULTI-YEAR CERTIFICATIONS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23  PROGRAM YEARS(PY) COVERED IN CERTIFICATION</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PY: 2019 PY:  PY: </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24  CUMULATIVE NET EXPENDITURES SUBJECT TO LOW/MOD BENEFIT CALCULATION</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25  CUMULATIVE EXPENDITURES BENEFITING LOW/MOD PERSONS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26  PERCENT BENEFIT TO LOW/MOD PERSONS (LINE 25/LINE 24)</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PART IV:  PUBLIC SERVICE (PS) CAP CALCULATIONS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27  DISBURSED IN IDIS FOR PUBLIC SERVICES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64,529.96</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28  PS UNLIQUIDATED OBLIGATIONS AT END OF CURRENT PROGRAM YEAR</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29  PS UNLIQUIDATED OBLIGATIONS AT END OF PREVIOUS PROGRAM YEAR</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30  ADJUSTMENT TO COMPUTE TOTAL PS OBLIGATIONS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31  TOTAL PS OBLIGATIONS (LINE 27 + LINE 28 - LINE 29 + LINE 30)</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64,529.96</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32  ENTITLEMENT GRANT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671,354.00</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33  PRIOR YEAR PROGRAM INCOME</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352.25</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34  ADJUSTMENT TO COMPUTE TOTAL SUBJECT TO PS CAP</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35  TOTAL SUBJECT TO PS CAP (SUM, LINES 32-34)</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671,706.25</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36  PERCENT FUNDS OBLIGATED FOR PS ACTIVITIES (LINE 31/LINE 35)</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9.61%</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PART V:   PLANNING AND ADMINISTRATION (PA) CAP</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 </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37  DISBURSED IN IDIS FOR PLANNING/ADMINISTRATION</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88,226.52</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38  PA UNLIQUIDATED OBLIGATIONS AT END OF CURRENT PROGRAM YEAR</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39  PA UNLIQUIDATED OBLIGATIONS AT END OF PREVIOUS PROGRAM YEAR</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40  ADJUSTMENT TO COMPUTE TOTAL PA OBLIGATIONS</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41  TOTAL PA OBLIGATIONS (LINE 37 + LINE 38 - LINE 39 +LINE 40)</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88,226.52</w:t>
            </w:r>
          </w:p>
        </w:tc>
      </w:tr>
      <w:tr w:rsidR="00B76A60" w:rsidRPr="00B76A60" w:rsidTr="00B76A60">
        <w:trPr>
          <w:trHeight w:val="285"/>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42  ENTITLEMENT GRANT</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671,354.00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43  CURRENT YEAR PROGRAM INCOME</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44  ADJUSTMENT TO COMPUTE TOTAL SUBJECT TO PA CAP</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0.00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45  TOTAL SUBJECT TO PA CAP (SUM, LINES 42-44)</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671,454.00</w:t>
            </w:r>
          </w:p>
        </w:tc>
      </w:tr>
      <w:tr w:rsidR="00B76A60" w:rsidRPr="00B76A60" w:rsidTr="00B76A60">
        <w:trPr>
          <w:trHeight w:val="270"/>
        </w:trPr>
        <w:tc>
          <w:tcPr>
            <w:tcW w:w="7705" w:type="dxa"/>
            <w:gridSpan w:val="8"/>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46  PERCENT FUNDS OBLIGATED FOR PA ACTIVITIES (LINE 41/LINE 45)</w:t>
            </w:r>
          </w:p>
        </w:tc>
        <w:tc>
          <w:tcPr>
            <w:tcW w:w="1655" w:type="dxa"/>
            <w:gridSpan w:val="4"/>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13.14%</w:t>
            </w:r>
          </w:p>
        </w:tc>
      </w:tr>
      <w:tr w:rsidR="00B76A60" w:rsidRPr="00B76A60" w:rsidTr="00B76A60">
        <w:trPr>
          <w:trHeight w:val="285"/>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center"/>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LINE 17 DETAIL: ACTIVITIES TO CONSIDER IN DETERMINING THE AMOUNT TO ENTER ON LINE 17</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center"/>
              <w:rPr>
                <w:rFonts w:ascii="Tahoma" w:eastAsia="Times New Roman" w:hAnsi="Tahoma" w:cs="Tahoma"/>
                <w:color w:val="000000"/>
                <w:sz w:val="16"/>
                <w:szCs w:val="16"/>
              </w:rPr>
            </w:pPr>
            <w:r w:rsidRPr="00B76A60">
              <w:rPr>
                <w:rFonts w:ascii="Tahoma" w:eastAsia="Times New Roman" w:hAnsi="Tahoma" w:cs="Tahoma"/>
                <w:color w:val="000000"/>
                <w:sz w:val="16"/>
                <w:szCs w:val="16"/>
              </w:rPr>
              <w:t>Report returned no data.</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36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center"/>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LINE 18 DETAIL: ACTIVITIES TO CONSIDER IN DETERMINING THE AMOUNT TO ENTER ON LINE 18</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center"/>
              <w:rPr>
                <w:rFonts w:ascii="Tahoma" w:eastAsia="Times New Roman" w:hAnsi="Tahoma" w:cs="Tahoma"/>
                <w:color w:val="000000"/>
                <w:sz w:val="16"/>
                <w:szCs w:val="16"/>
              </w:rPr>
            </w:pPr>
            <w:r w:rsidRPr="00B76A60">
              <w:rPr>
                <w:rFonts w:ascii="Tahoma" w:eastAsia="Times New Roman" w:hAnsi="Tahoma" w:cs="Tahoma"/>
                <w:color w:val="000000"/>
                <w:sz w:val="16"/>
                <w:szCs w:val="16"/>
              </w:rPr>
              <w:t>Report returned no data.</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36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center"/>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LINE 19 DETAIL: ACTIVITIES INCLUDED IN THE COMPUTATION OF LINE 19</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18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Plan Year</w:t>
            </w:r>
          </w:p>
        </w:tc>
        <w:tc>
          <w:tcPr>
            <w:tcW w:w="1140" w:type="dxa"/>
            <w:gridSpan w:val="2"/>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Project</w:t>
            </w:r>
          </w:p>
        </w:tc>
        <w:tc>
          <w:tcPr>
            <w:tcW w:w="1332"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Activity</w:t>
            </w:r>
          </w:p>
        </w:tc>
        <w:tc>
          <w:tcPr>
            <w:tcW w:w="1200"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Voucher Number</w:t>
            </w:r>
          </w:p>
        </w:tc>
        <w:tc>
          <w:tcPr>
            <w:tcW w:w="2451"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Activity Name</w:t>
            </w:r>
          </w:p>
        </w:tc>
        <w:tc>
          <w:tcPr>
            <w:tcW w:w="1032" w:type="dxa"/>
            <w:gridSpan w:val="3"/>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National Objective</w:t>
            </w:r>
          </w:p>
        </w:tc>
        <w:tc>
          <w:tcPr>
            <w:tcW w:w="1150" w:type="dxa"/>
            <w:gridSpan w:val="2"/>
            <w:tcBorders>
              <w:top w:val="nil"/>
              <w:left w:val="nil"/>
              <w:bottom w:val="double" w:sz="6" w:space="0" w:color="auto"/>
              <w:right w:val="nil"/>
            </w:tcBorders>
            <w:shd w:val="clear" w:color="000000" w:fill="FFFFFF"/>
            <w:vAlign w:val="bottom"/>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Drawn Amount</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$66.78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6326306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$16,150.00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$783.96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$1,591.69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$2,168.05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6378120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$22,375.00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$45,825.00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$98,080.20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6391626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$36,900.00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6395413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$805.52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4</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585</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Griffin </w:t>
            </w:r>
            <w:proofErr w:type="spellStart"/>
            <w:r w:rsidRPr="00B76A60">
              <w:rPr>
                <w:rFonts w:ascii="Tahoma" w:eastAsia="Times New Roman" w:hAnsi="Tahoma" w:cs="Tahoma"/>
                <w:color w:val="000000"/>
                <w:sz w:val="16"/>
                <w:szCs w:val="16"/>
              </w:rPr>
              <w:t>Neigborhood</w:t>
            </w:r>
            <w:proofErr w:type="spellEnd"/>
            <w:r w:rsidRPr="00B76A60">
              <w:rPr>
                <w:rFonts w:ascii="Tahoma" w:eastAsia="Times New Roman" w:hAnsi="Tahoma" w:cs="Tahoma"/>
                <w:color w:val="000000"/>
                <w:sz w:val="16"/>
                <w:szCs w:val="16"/>
              </w:rPr>
              <w:t xml:space="preserve"> Center Improvements Phase 3</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$18,359.31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03F</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$243,105.51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6378120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$1,328.00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$6,500.00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6391626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$8,000.00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6395413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$2,086.14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6399520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$4,662.00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$148.24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6409997</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$612.50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3</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590</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6413869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xml:space="preserve">Olive </w:t>
            </w:r>
            <w:proofErr w:type="spellStart"/>
            <w:r w:rsidRPr="00B76A60">
              <w:rPr>
                <w:rFonts w:ascii="Tahoma" w:eastAsia="Times New Roman" w:hAnsi="Tahoma" w:cs="Tahoma"/>
                <w:color w:val="000000"/>
                <w:sz w:val="16"/>
                <w:szCs w:val="16"/>
              </w:rPr>
              <w:t>Stree</w:t>
            </w:r>
            <w:proofErr w:type="spellEnd"/>
            <w:r w:rsidRPr="00B76A60">
              <w:rPr>
                <w:rFonts w:ascii="Tahoma" w:eastAsia="Times New Roman" w:hAnsi="Tahoma" w:cs="Tahoma"/>
                <w:color w:val="000000"/>
                <w:sz w:val="16"/>
                <w:szCs w:val="16"/>
              </w:rPr>
              <w:t xml:space="preserve"> Sidewalk Improvements</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$8,250.00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03L</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$31,586.88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$22.81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$641.60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$1,648.04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6413869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$1,463.68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05A</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$3,844.55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$114.03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$790.45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$973.06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6326306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$6,047.71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$102.63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6334011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$657.18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$530.01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$3,044.72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$403.62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$1,946.83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$773.04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$165.12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$860.00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$168.01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$718.75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6391626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$301.00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6399520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$2,410.80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$513.11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6302686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$8,263.52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$102.62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$1,186.62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$2,061.60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$45.61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$3,359.00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$57.01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$1,244.92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$2,738.64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$34.21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$1,269.40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6395413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$4,404.64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6399520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$1,495.00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$410.49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$79.82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$11.40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$7,614.03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$125.43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$91.23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05D</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$55,252.10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$5,057.02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$273.66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$34.21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05E</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$5,433.31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$159.63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$114.02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$1,147.82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6334011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$3,379.25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$45.61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$1,052.01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$45.62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$91.22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$91.22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$114.03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$3,566.96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$6,425.00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6409997</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$3,750.00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582</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6413869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Emergency Repair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LMH</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$148.23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14A</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$20,130.62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6291894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$3,443.32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6295218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$2,031.00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6298722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$2,061.01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6302686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$3,443.32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6307204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$2,101.03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$3,443.32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$2,031.00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$3,473.33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6326306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$2,031.00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$3,473.33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6333216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$2,031.00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6334011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$102.95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$3,439.90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$2,027.58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$5,497.49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$2,057.59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$3,439.90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$2,027.58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6366840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$3,469.91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$2,027.58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$3,469.91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6378120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$2,027.58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$3,469.91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$2,027.58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583</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6391626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Concentrated Code Enforcement</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LMA</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color w:val="000000"/>
                <w:sz w:val="16"/>
                <w:szCs w:val="16"/>
              </w:rPr>
            </w:pPr>
            <w:r w:rsidRPr="00B76A60">
              <w:rPr>
                <w:rFonts w:ascii="Tahoma" w:eastAsia="Times New Roman" w:hAnsi="Tahoma" w:cs="Tahoma"/>
                <w:color w:val="000000"/>
                <w:sz w:val="16"/>
                <w:szCs w:val="16"/>
              </w:rPr>
              <w:t>$3,469.91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15</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$68,118.03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Total</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$427,471.00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36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hideMark/>
          </w:tcPr>
          <w:p w:rsidR="00B76A60" w:rsidRPr="00B76A60" w:rsidRDefault="00B76A60" w:rsidP="00B76A60">
            <w:pPr>
              <w:spacing w:after="0" w:line="240" w:lineRule="auto"/>
              <w:jc w:val="center"/>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LINE 27 DETAIL: ACTIVITIES INCLUDED IN THE COMPUTATION OF LINE 27</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18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Plan Year</w:t>
            </w:r>
          </w:p>
        </w:tc>
        <w:tc>
          <w:tcPr>
            <w:tcW w:w="1140" w:type="dxa"/>
            <w:gridSpan w:val="2"/>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Project</w:t>
            </w:r>
          </w:p>
        </w:tc>
        <w:tc>
          <w:tcPr>
            <w:tcW w:w="1332"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Activity</w:t>
            </w:r>
          </w:p>
        </w:tc>
        <w:tc>
          <w:tcPr>
            <w:tcW w:w="1200"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Voucher Number</w:t>
            </w:r>
          </w:p>
        </w:tc>
        <w:tc>
          <w:tcPr>
            <w:tcW w:w="2451"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Activity Name</w:t>
            </w:r>
          </w:p>
        </w:tc>
        <w:tc>
          <w:tcPr>
            <w:tcW w:w="1032" w:type="dxa"/>
            <w:gridSpan w:val="3"/>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National Objective</w:t>
            </w:r>
          </w:p>
        </w:tc>
        <w:tc>
          <w:tcPr>
            <w:tcW w:w="1150" w:type="dxa"/>
            <w:gridSpan w:val="2"/>
            <w:tcBorders>
              <w:top w:val="nil"/>
              <w:left w:val="nil"/>
              <w:bottom w:val="double" w:sz="6" w:space="0" w:color="auto"/>
              <w:right w:val="nil"/>
            </w:tcBorders>
            <w:shd w:val="clear" w:color="000000" w:fill="FFFFFF"/>
            <w:vAlign w:val="bottom"/>
            <w:hideMark/>
          </w:tcPr>
          <w:p w:rsidR="00B76A60" w:rsidRPr="00B76A60" w:rsidRDefault="00B76A60" w:rsidP="00B76A60">
            <w:pPr>
              <w:spacing w:after="0" w:line="240" w:lineRule="auto"/>
              <w:jc w:val="right"/>
              <w:rPr>
                <w:rFonts w:ascii="Arial" w:eastAsia="Times New Roman" w:hAnsi="Arial" w:cs="Arial"/>
                <w:b/>
                <w:bCs/>
                <w:color w:val="000000"/>
                <w:sz w:val="16"/>
                <w:szCs w:val="16"/>
              </w:rPr>
            </w:pPr>
            <w:r w:rsidRPr="00B76A60">
              <w:rPr>
                <w:rFonts w:ascii="Arial" w:eastAsia="Times New Roman" w:hAnsi="Arial" w:cs="Arial"/>
                <w:b/>
                <w:bCs/>
                <w:color w:val="000000"/>
                <w:sz w:val="16"/>
                <w:szCs w:val="16"/>
              </w:rPr>
              <w:t>Drawn Amount</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$22.81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$641.60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$1,648.04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6413869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FY19 (2020) Repair Affair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$1,463.68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05A</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$3,844.55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$114.03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$790.45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$973.06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6326306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$6,047.71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$102.63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6334011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$657.18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$530.01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$3,044.72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$403.62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$1,946.83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$773.04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$165.12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$860.00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$168.01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$718.75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6391626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$301.00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6399520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$2,410.80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586</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Asset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$513.11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6302686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$8,263.52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$102.62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$1,186.62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$2,061.60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$45.61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$3,359.00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$57.01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$1,244.92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$2,738.64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$34.21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$1,269.40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6395413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$4,404.64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6399520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$1,495.00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7</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584</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6405790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Youth Enrichment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$410.49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$79.82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$11.40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$7,614.03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$125.43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9</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587</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Clothe a Teen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$91.23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05D</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$55,252.10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$5,057.02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$273.66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$68.42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8</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588</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NA Rides Program</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LMC</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$34.21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05E</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$5,433.31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Total</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$64,529.96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36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166" w:type="dxa"/>
            <w:gridSpan w:val="5"/>
            <w:tcBorders>
              <w:top w:val="nil"/>
              <w:left w:val="nil"/>
              <w:bottom w:val="nil"/>
              <w:right w:val="nil"/>
            </w:tcBorders>
            <w:shd w:val="clear" w:color="000000" w:fill="FFFFFF"/>
            <w:noWrap/>
            <w:hideMark/>
          </w:tcPr>
          <w:p w:rsidR="00B76A60" w:rsidRPr="00B76A60" w:rsidRDefault="00B76A60" w:rsidP="00B76A60">
            <w:pPr>
              <w:spacing w:after="0" w:line="240" w:lineRule="auto"/>
              <w:jc w:val="center"/>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LINE 37 DETAIL: ACTIVITIES INCLUDED IN THE COMPUTATION OF LINE 37</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180"/>
        </w:trPr>
        <w:tc>
          <w:tcPr>
            <w:tcW w:w="91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478"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66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3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200"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245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521"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42"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9"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367"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783"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Plan Year</w:t>
            </w:r>
          </w:p>
        </w:tc>
        <w:tc>
          <w:tcPr>
            <w:tcW w:w="1140" w:type="dxa"/>
            <w:gridSpan w:val="2"/>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Project</w:t>
            </w:r>
          </w:p>
        </w:tc>
        <w:tc>
          <w:tcPr>
            <w:tcW w:w="1332"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IDIS Activity</w:t>
            </w:r>
          </w:p>
        </w:tc>
        <w:tc>
          <w:tcPr>
            <w:tcW w:w="1200"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Voucher Number</w:t>
            </w:r>
          </w:p>
        </w:tc>
        <w:tc>
          <w:tcPr>
            <w:tcW w:w="2451" w:type="dxa"/>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Activity Name</w:t>
            </w:r>
          </w:p>
        </w:tc>
        <w:tc>
          <w:tcPr>
            <w:tcW w:w="1032" w:type="dxa"/>
            <w:gridSpan w:val="3"/>
            <w:tcBorders>
              <w:top w:val="nil"/>
              <w:left w:val="nil"/>
              <w:bottom w:val="double" w:sz="6" w:space="0" w:color="auto"/>
              <w:right w:val="nil"/>
            </w:tcBorders>
            <w:shd w:val="clear" w:color="000000" w:fill="FFFFFF"/>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National Objective</w:t>
            </w:r>
          </w:p>
        </w:tc>
        <w:tc>
          <w:tcPr>
            <w:tcW w:w="1150" w:type="dxa"/>
            <w:gridSpan w:val="2"/>
            <w:tcBorders>
              <w:top w:val="nil"/>
              <w:left w:val="nil"/>
              <w:bottom w:val="double" w:sz="6" w:space="0" w:color="auto"/>
              <w:right w:val="nil"/>
            </w:tcBorders>
            <w:shd w:val="clear" w:color="000000" w:fill="FFFFFF"/>
            <w:vAlign w:val="bottom"/>
            <w:hideMark/>
          </w:tcPr>
          <w:p w:rsidR="00B76A60" w:rsidRPr="00B76A60" w:rsidRDefault="00B76A60" w:rsidP="00B76A60">
            <w:pPr>
              <w:spacing w:after="0" w:line="240" w:lineRule="auto"/>
              <w:jc w:val="right"/>
              <w:rPr>
                <w:rFonts w:ascii="Arial" w:eastAsia="Times New Roman" w:hAnsi="Arial" w:cs="Arial"/>
                <w:b/>
                <w:bCs/>
                <w:color w:val="000000"/>
                <w:sz w:val="16"/>
                <w:szCs w:val="16"/>
              </w:rPr>
            </w:pPr>
            <w:r w:rsidRPr="00B76A60">
              <w:rPr>
                <w:rFonts w:ascii="Arial" w:eastAsia="Times New Roman" w:hAnsi="Arial" w:cs="Arial"/>
                <w:b/>
                <w:bCs/>
                <w:color w:val="000000"/>
                <w:sz w:val="16"/>
                <w:szCs w:val="16"/>
              </w:rPr>
              <w:t>Drawn Amount</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2018</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12</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569</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6287100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FY18 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$25.00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6291894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$2,172.06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6295218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$4,223.77</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lastRenderedPageBreak/>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6298722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$2,461.73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6302686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$569.18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6307204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$2,491.49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6311654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$2,327.67</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6315696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$1,641.63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6321466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$1,221.62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6326306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$2,575.76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6329719</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$1,189.23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6333216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$1,682.94</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6337691</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$1,913.75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6341746</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$2,461.73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6349028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$3,580.70</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6353828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$2,136.02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6357934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$1,211.11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6362298</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$1,989.81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6366840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$17,560.81</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6370425</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$865.36</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6374482</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$5,944.45</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85"/>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6378120</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$3,824.33</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6383353</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$21,633.48</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2019</w:t>
            </w:r>
          </w:p>
        </w:tc>
        <w:tc>
          <w:tcPr>
            <w:tcW w:w="1140" w:type="dxa"/>
            <w:gridSpan w:val="2"/>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11</w:t>
            </w:r>
          </w:p>
        </w:tc>
        <w:tc>
          <w:tcPr>
            <w:tcW w:w="1332"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581</w:t>
            </w:r>
          </w:p>
        </w:tc>
        <w:tc>
          <w:tcPr>
            <w:tcW w:w="1200"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6387174</w:t>
            </w:r>
          </w:p>
        </w:tc>
        <w:tc>
          <w:tcPr>
            <w:tcW w:w="2451" w:type="dxa"/>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General Administration</w:t>
            </w:r>
          </w:p>
        </w:tc>
        <w:tc>
          <w:tcPr>
            <w:tcW w:w="1032" w:type="dxa"/>
            <w:gridSpan w:val="3"/>
            <w:tcBorders>
              <w:top w:val="nil"/>
              <w:left w:val="nil"/>
              <w:bottom w:val="nil"/>
              <w:right w:val="nil"/>
            </w:tcBorders>
            <w:shd w:val="clear" w:color="000000" w:fill="FFFFFF"/>
            <w:hideMark/>
          </w:tcPr>
          <w:p w:rsidR="00B76A60" w:rsidRPr="00B76A60" w:rsidRDefault="00B76A60" w:rsidP="00B76A60">
            <w:pPr>
              <w:spacing w:after="0" w:line="240" w:lineRule="auto"/>
              <w:rPr>
                <w:rFonts w:ascii="Tahoma" w:eastAsia="Times New Roman" w:hAnsi="Tahoma" w:cs="Tahoma"/>
                <w:color w:val="000000"/>
                <w:sz w:val="16"/>
                <w:szCs w:val="16"/>
              </w:rPr>
            </w:pPr>
            <w:r w:rsidRPr="00B76A60">
              <w:rPr>
                <w:rFonts w:ascii="Tahoma" w:eastAsia="Times New Roman" w:hAnsi="Tahoma" w:cs="Tahoma"/>
                <w:color w:val="000000"/>
                <w:sz w:val="16"/>
                <w:szCs w:val="16"/>
              </w:rPr>
              <w:t> </w:t>
            </w:r>
          </w:p>
        </w:tc>
        <w:tc>
          <w:tcPr>
            <w:tcW w:w="115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Arial" w:eastAsia="Times New Roman" w:hAnsi="Arial" w:cs="Arial"/>
                <w:color w:val="000000"/>
                <w:sz w:val="16"/>
                <w:szCs w:val="16"/>
              </w:rPr>
            </w:pPr>
            <w:r w:rsidRPr="00B76A60">
              <w:rPr>
                <w:rFonts w:ascii="Arial" w:eastAsia="Times New Roman" w:hAnsi="Arial" w:cs="Arial"/>
                <w:color w:val="000000"/>
                <w:sz w:val="16"/>
                <w:szCs w:val="16"/>
              </w:rPr>
              <w:t>$2,522.89</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xml:space="preserve"> </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Matrix Code 21A</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$88,226.52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70"/>
        </w:trPr>
        <w:tc>
          <w:tcPr>
            <w:tcW w:w="919"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Total</w:t>
            </w:r>
          </w:p>
        </w:tc>
        <w:tc>
          <w:tcPr>
            <w:tcW w:w="1140" w:type="dxa"/>
            <w:gridSpan w:val="2"/>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332"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200"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2451" w:type="dxa"/>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032" w:type="dxa"/>
            <w:gridSpan w:val="3"/>
            <w:tcBorders>
              <w:top w:val="nil"/>
              <w:left w:val="nil"/>
              <w:bottom w:val="nil"/>
              <w:right w:val="nil"/>
            </w:tcBorders>
            <w:shd w:val="clear" w:color="000000" w:fill="FFFFFF"/>
            <w:noWrap/>
            <w:vAlign w:val="center"/>
            <w:hideMark/>
          </w:tcPr>
          <w:p w:rsidR="00B76A60" w:rsidRPr="00B76A60" w:rsidRDefault="00B76A60" w:rsidP="00B76A60">
            <w:pPr>
              <w:spacing w:after="0" w:line="240" w:lineRule="auto"/>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 </w:t>
            </w:r>
          </w:p>
        </w:tc>
        <w:tc>
          <w:tcPr>
            <w:tcW w:w="1150" w:type="dxa"/>
            <w:gridSpan w:val="2"/>
            <w:tcBorders>
              <w:top w:val="single" w:sz="4" w:space="0" w:color="auto"/>
              <w:left w:val="nil"/>
              <w:bottom w:val="nil"/>
              <w:right w:val="nil"/>
            </w:tcBorders>
            <w:shd w:val="clear" w:color="000000" w:fill="FFFFFF"/>
            <w:noWrap/>
            <w:vAlign w:val="center"/>
            <w:hideMark/>
          </w:tcPr>
          <w:p w:rsidR="00B76A60" w:rsidRPr="00B76A60" w:rsidRDefault="00B76A60" w:rsidP="00B76A60">
            <w:pPr>
              <w:spacing w:after="0" w:line="240" w:lineRule="auto"/>
              <w:jc w:val="right"/>
              <w:rPr>
                <w:rFonts w:ascii="Tahoma" w:eastAsia="Times New Roman" w:hAnsi="Tahoma" w:cs="Tahoma"/>
                <w:b/>
                <w:bCs/>
                <w:color w:val="000000"/>
                <w:sz w:val="16"/>
                <w:szCs w:val="16"/>
              </w:rPr>
            </w:pPr>
            <w:r w:rsidRPr="00B76A60">
              <w:rPr>
                <w:rFonts w:ascii="Tahoma" w:eastAsia="Times New Roman" w:hAnsi="Tahoma" w:cs="Tahoma"/>
                <w:b/>
                <w:bCs/>
                <w:color w:val="000000"/>
                <w:sz w:val="16"/>
                <w:szCs w:val="16"/>
              </w:rPr>
              <w:t>$88,226.52</w:t>
            </w:r>
          </w:p>
        </w:tc>
        <w:tc>
          <w:tcPr>
            <w:tcW w:w="136" w:type="dxa"/>
            <w:tcBorders>
              <w:top w:val="nil"/>
              <w:left w:val="nil"/>
              <w:bottom w:val="nil"/>
              <w:right w:val="nil"/>
            </w:tcBorders>
            <w:shd w:val="clear" w:color="000000" w:fill="FFFFFF"/>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r w:rsidRPr="00B76A60">
              <w:rPr>
                <w:rFonts w:ascii="Arial" w:eastAsia="Times New Roman" w:hAnsi="Arial" w:cs="Arial"/>
                <w:color w:val="000000"/>
                <w:sz w:val="20"/>
                <w:szCs w:val="20"/>
              </w:rPr>
              <w:t> </w:t>
            </w:r>
          </w:p>
        </w:tc>
      </w:tr>
      <w:tr w:rsidR="00B76A60" w:rsidRPr="00B76A60" w:rsidTr="00B76A60">
        <w:trPr>
          <w:trHeight w:val="255"/>
        </w:trPr>
        <w:tc>
          <w:tcPr>
            <w:tcW w:w="919"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478"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1332"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2451"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521"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142"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369"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367"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783"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c>
          <w:tcPr>
            <w:tcW w:w="136" w:type="dxa"/>
            <w:tcBorders>
              <w:top w:val="nil"/>
              <w:left w:val="nil"/>
              <w:bottom w:val="nil"/>
              <w:right w:val="nil"/>
            </w:tcBorders>
            <w:shd w:val="clear" w:color="auto" w:fill="auto"/>
            <w:noWrap/>
            <w:vAlign w:val="bottom"/>
            <w:hideMark/>
          </w:tcPr>
          <w:p w:rsidR="00B76A60" w:rsidRPr="00B76A60" w:rsidRDefault="00B76A60" w:rsidP="00B76A60">
            <w:pPr>
              <w:spacing w:after="0" w:line="240" w:lineRule="auto"/>
              <w:rPr>
                <w:rFonts w:ascii="Arial" w:eastAsia="Times New Roman" w:hAnsi="Arial" w:cs="Arial"/>
                <w:color w:val="000000"/>
                <w:sz w:val="20"/>
                <w:szCs w:val="20"/>
              </w:rPr>
            </w:pPr>
          </w:p>
        </w:tc>
      </w:tr>
    </w:tbl>
    <w:p w:rsidR="00A94410" w:rsidRDefault="00A94410"/>
    <w:sectPr w:rsidR="00A94410" w:rsidSect="00A94410">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91A" w:rsidRDefault="008A491A">
      <w:r>
        <w:separator/>
      </w:r>
    </w:p>
  </w:endnote>
  <w:endnote w:type="continuationSeparator" w:id="0">
    <w:p w:rsidR="008A491A" w:rsidRDefault="008A4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Look w:val="01E0"/>
    </w:tblPr>
    <w:tblGrid>
      <w:gridCol w:w="828"/>
      <w:gridCol w:w="7976"/>
      <w:gridCol w:w="772"/>
    </w:tblGrid>
    <w:tr w:rsidR="008A491A">
      <w:trPr>
        <w:jc w:val="center"/>
      </w:trPr>
      <w:tc>
        <w:tcPr>
          <w:tcW w:w="828" w:type="dxa"/>
        </w:tcPr>
        <w:p w:rsidR="008A491A" w:rsidRDefault="008A491A">
          <w:pPr>
            <w:pStyle w:val="Footer"/>
            <w:spacing w:after="0" w:line="240" w:lineRule="auto"/>
            <w:jc w:val="center"/>
          </w:pPr>
        </w:p>
      </w:tc>
      <w:tc>
        <w:tcPr>
          <w:tcW w:w="7976" w:type="dxa"/>
        </w:tcPr>
        <w:p w:rsidR="008A491A" w:rsidRDefault="008A491A">
          <w:pPr>
            <w:pStyle w:val="Footer"/>
            <w:spacing w:after="0" w:line="240" w:lineRule="auto"/>
            <w:jc w:val="center"/>
          </w:pPr>
          <w:r>
            <w:t>CAPER</w:t>
          </w:r>
        </w:p>
      </w:tc>
      <w:tc>
        <w:tcPr>
          <w:tcW w:w="772" w:type="dxa"/>
        </w:tcPr>
        <w:p w:rsidR="008A491A" w:rsidRDefault="008A491A">
          <w:pPr>
            <w:pStyle w:val="Footer"/>
            <w:spacing w:after="0" w:line="240" w:lineRule="auto"/>
            <w:jc w:val="right"/>
          </w:pPr>
          <w:fldSimple w:instr="page">
            <w:r w:rsidR="00AD2AE0">
              <w:rPr>
                <w:noProof/>
              </w:rPr>
              <w:t>19</w:t>
            </w:r>
          </w:fldSimple>
        </w:p>
      </w:tc>
    </w:tr>
  </w:tbl>
  <w:p w:rsidR="008A491A" w:rsidRDefault="008A491A">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91A" w:rsidRDefault="008A491A">
      <w:r>
        <w:separator/>
      </w:r>
    </w:p>
  </w:footnote>
  <w:footnote w:type="continuationSeparator" w:id="0">
    <w:p w:rsidR="008A491A" w:rsidRDefault="008A49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0B78"/>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D62"/>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18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0E1F"/>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1401"/>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58DE"/>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845"/>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2B00"/>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3ACE"/>
    <w:rsid w:val="00644A8B"/>
    <w:rsid w:val="00645C20"/>
    <w:rsid w:val="00647A68"/>
    <w:rsid w:val="00647D86"/>
    <w:rsid w:val="00652006"/>
    <w:rsid w:val="0065246C"/>
    <w:rsid w:val="00654D27"/>
    <w:rsid w:val="00654F15"/>
    <w:rsid w:val="0065549B"/>
    <w:rsid w:val="0065564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3"/>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69F7"/>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2C"/>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491A"/>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AB9"/>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5BB0"/>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4D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410"/>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2AE0"/>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17BA6"/>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08B2"/>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A60"/>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2ED9"/>
    <w:rsid w:val="00C13610"/>
    <w:rsid w:val="00C13C9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75ED6"/>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72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417"/>
    <w:rsid w:val="00CE5873"/>
    <w:rsid w:val="00CF13F0"/>
    <w:rsid w:val="00CF14E7"/>
    <w:rsid w:val="00CF3F9F"/>
    <w:rsid w:val="00CF44B5"/>
    <w:rsid w:val="00CF57D1"/>
    <w:rsid w:val="00CF5E74"/>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44AF"/>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4E6"/>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20E"/>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410"/>
    <w:pPr>
      <w:spacing w:after="200" w:line="276" w:lineRule="auto"/>
    </w:pPr>
  </w:style>
  <w:style w:type="paragraph" w:styleId="Heading1">
    <w:name w:val="heading 1"/>
    <w:basedOn w:val="Normal"/>
    <w:next w:val="Normal"/>
    <w:link w:val="Heading1Char"/>
    <w:uiPriority w:val="99"/>
    <w:qFormat/>
    <w:rsid w:val="00A9441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A9441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4410"/>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A94410"/>
    <w:rPr>
      <w:rFonts w:ascii="Cambria" w:hAnsi="Cambria" w:cs="Times New Roman"/>
      <w:b/>
      <w:bCs/>
      <w:i/>
      <w:iCs/>
      <w:sz w:val="28"/>
      <w:szCs w:val="28"/>
    </w:rPr>
  </w:style>
  <w:style w:type="paragraph" w:styleId="TOC1">
    <w:name w:val="toc 1"/>
    <w:basedOn w:val="Normal"/>
    <w:next w:val="Normal"/>
    <w:autoRedefine/>
    <w:uiPriority w:val="99"/>
    <w:rsid w:val="00A94410"/>
    <w:pPr>
      <w:spacing w:after="100"/>
    </w:pPr>
  </w:style>
  <w:style w:type="character" w:styleId="Hyperlink">
    <w:name w:val="Hyperlink"/>
    <w:basedOn w:val="DefaultParagraphFont"/>
    <w:uiPriority w:val="99"/>
    <w:rsid w:val="00A94410"/>
    <w:rPr>
      <w:rFonts w:cs="Times New Roman"/>
      <w:color w:val="0000FF"/>
      <w:u w:val="single"/>
    </w:rPr>
  </w:style>
  <w:style w:type="table" w:styleId="TableGrid">
    <w:name w:val="Table Grid"/>
    <w:basedOn w:val="TableNormal"/>
    <w:uiPriority w:val="99"/>
    <w:locked/>
    <w:rsid w:val="00A94410"/>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locked/>
    <w:rsid w:val="00A94410"/>
    <w:pPr>
      <w:spacing w:after="0" w:line="240" w:lineRule="auto"/>
    </w:pPr>
    <w:rPr>
      <w:rFonts w:ascii="Times New Roman" w:hAnsi="Times New Roman"/>
      <w:b/>
      <w:bCs/>
      <w:sz w:val="20"/>
      <w:szCs w:val="20"/>
    </w:rPr>
  </w:style>
  <w:style w:type="paragraph" w:styleId="Header">
    <w:name w:val="header"/>
    <w:basedOn w:val="Normal"/>
    <w:link w:val="HeaderChar"/>
    <w:uiPriority w:val="99"/>
    <w:rsid w:val="00A94410"/>
    <w:pPr>
      <w:tabs>
        <w:tab w:val="center" w:pos="4320"/>
        <w:tab w:val="right" w:pos="8640"/>
      </w:tabs>
    </w:pPr>
  </w:style>
  <w:style w:type="character" w:customStyle="1" w:styleId="HeaderChar">
    <w:name w:val="Header Char"/>
    <w:basedOn w:val="DefaultParagraphFont"/>
    <w:link w:val="Header"/>
    <w:uiPriority w:val="99"/>
    <w:semiHidden/>
    <w:locked/>
    <w:rsid w:val="00A94410"/>
    <w:rPr>
      <w:rFonts w:cs="Times New Roman"/>
    </w:rPr>
  </w:style>
  <w:style w:type="paragraph" w:styleId="Footer">
    <w:name w:val="footer"/>
    <w:basedOn w:val="Normal"/>
    <w:link w:val="FooterChar"/>
    <w:uiPriority w:val="99"/>
    <w:rsid w:val="00A94410"/>
    <w:pPr>
      <w:tabs>
        <w:tab w:val="center" w:pos="4320"/>
        <w:tab w:val="right" w:pos="8640"/>
      </w:tabs>
    </w:pPr>
  </w:style>
  <w:style w:type="character" w:customStyle="1" w:styleId="FooterChar">
    <w:name w:val="Footer Char"/>
    <w:basedOn w:val="DefaultParagraphFont"/>
    <w:link w:val="Footer"/>
    <w:uiPriority w:val="99"/>
    <w:semiHidden/>
    <w:locked/>
    <w:rsid w:val="00A94410"/>
    <w:rPr>
      <w:rFonts w:cs="Times New Roman"/>
    </w:rPr>
  </w:style>
  <w:style w:type="character" w:styleId="PageNumber">
    <w:name w:val="page number"/>
    <w:basedOn w:val="DefaultParagraphFont"/>
    <w:uiPriority w:val="99"/>
    <w:rsid w:val="00A94410"/>
    <w:rPr>
      <w:rFonts w:cs="Times New Roman"/>
    </w:rPr>
  </w:style>
  <w:style w:type="paragraph" w:styleId="TOC2">
    <w:name w:val="toc 2"/>
    <w:basedOn w:val="Normal"/>
    <w:next w:val="Normal"/>
    <w:autoRedefine/>
    <w:uiPriority w:val="99"/>
    <w:semiHidden/>
    <w:locked/>
    <w:rsid w:val="00A94410"/>
    <w:pPr>
      <w:ind w:left="220"/>
    </w:pPr>
  </w:style>
  <w:style w:type="paragraph" w:styleId="BalloonText">
    <w:name w:val="Balloon Text"/>
    <w:basedOn w:val="Normal"/>
    <w:link w:val="BalloonTextChar"/>
    <w:uiPriority w:val="99"/>
    <w:semiHidden/>
    <w:rsid w:val="00A944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4410"/>
    <w:rPr>
      <w:rFonts w:ascii="Times New Roman" w:hAnsi="Times New Roman" w:cs="Times New Roman"/>
      <w:sz w:val="2"/>
    </w:rPr>
  </w:style>
  <w:style w:type="paragraph" w:styleId="PlainText">
    <w:name w:val="Plain Text"/>
    <w:basedOn w:val="Normal"/>
    <w:link w:val="PlainTextChar"/>
    <w:uiPriority w:val="99"/>
    <w:rsid w:val="00A9441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A94410"/>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sid w:val="00A94410"/>
    <w:rPr>
      <w:rFonts w:cs="Times New Roman"/>
      <w:sz w:val="16"/>
      <w:szCs w:val="16"/>
    </w:rPr>
  </w:style>
  <w:style w:type="paragraph" w:styleId="CommentText">
    <w:name w:val="annotation text"/>
    <w:basedOn w:val="Normal"/>
    <w:link w:val="CommentTextChar"/>
    <w:uiPriority w:val="99"/>
    <w:rsid w:val="00A94410"/>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sid w:val="00A94410"/>
    <w:rPr>
      <w:rFonts w:ascii="Calibri" w:hAnsi="Calibri" w:cs="Times New Roman"/>
      <w:lang w:val="en-US" w:eastAsia="en-US" w:bidi="ar-SA"/>
    </w:rPr>
  </w:style>
  <w:style w:type="paragraph" w:styleId="NoSpacing">
    <w:name w:val="No Spacing"/>
    <w:link w:val="NoSpacingChar"/>
    <w:uiPriority w:val="99"/>
    <w:qFormat/>
    <w:rsid w:val="00A94410"/>
    <w:pPr>
      <w:jc w:val="both"/>
    </w:pPr>
  </w:style>
  <w:style w:type="character" w:customStyle="1" w:styleId="NoSpacingChar">
    <w:name w:val="No Spacing Char"/>
    <w:basedOn w:val="DefaultParagraphFont"/>
    <w:link w:val="NoSpacing"/>
    <w:uiPriority w:val="99"/>
    <w:locked/>
    <w:rsid w:val="00A94410"/>
    <w:rPr>
      <w:rFonts w:cs="Times New Roman"/>
      <w:sz w:val="22"/>
      <w:szCs w:val="22"/>
      <w:lang w:val="en-US" w:eastAsia="en-US" w:bidi="ar-SA"/>
    </w:rPr>
  </w:style>
  <w:style w:type="character" w:styleId="SubtleEmphasis">
    <w:name w:val="Subtle Emphasis"/>
    <w:basedOn w:val="DefaultParagraphFont"/>
    <w:uiPriority w:val="19"/>
    <w:qFormat/>
    <w:rsid w:val="00A94410"/>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A94410"/>
    <w:pPr>
      <w:spacing w:after="200"/>
      <w:ind w:right="0"/>
    </w:pPr>
    <w:rPr>
      <w:b/>
      <w:bCs/>
    </w:rPr>
  </w:style>
  <w:style w:type="character" w:customStyle="1" w:styleId="CommentSubjectChar">
    <w:name w:val="Comment Subject Char"/>
    <w:basedOn w:val="CommentTextChar"/>
    <w:link w:val="CommentSubject"/>
    <w:uiPriority w:val="99"/>
    <w:semiHidden/>
    <w:rsid w:val="00A94410"/>
    <w:rPr>
      <w:rFonts w:ascii="Calibri" w:hAnsi="Calibri" w:cs="Times New Roman"/>
      <w:b/>
      <w:bCs/>
      <w:sz w:val="20"/>
      <w:szCs w:val="20"/>
      <w:lang w:val="en-US" w:eastAsia="en-US" w:bidi="ar-SA"/>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Calibri" w:cs="Times New Roman" w:eastAsia="Calibri" w:hAnsi="Calibri"/>
        <w:sz w:val="22"/>
        <w:szCs w:val="22"/>
        <w:lang w:bidi="ar-SA" w:eastAsia="en-US" w:val="en-US"/>
      </w:rPr>
    </w:rPrDefault>
    <w:pPrDefault/>
  </w:docDefaults>
  <w:latentStyles w:count="267" w:defLockedState="0" w:defQFormat="0" w:defSemiHidden="1" w:defUIPriority="99" w:defUnhideWhenUsed="1">
    <w:lsdException w:locked="1" w:name="Normal" w:qFormat="1" w:semiHidden="0" w:uiPriority="0" w:unhideWhenUsed="0"/>
    <w:lsdException w:locked="1" w:name="heading 1" w:qFormat="1" w:semiHidden="0" w:uiPriority="0" w:unhideWhenUsed="0"/>
    <w:lsdException w:locked="1" w:name="heading 2" w:qFormat="1" w:semiHidden="0" w:uiPriority="0" w:unhideWhenUsed="0"/>
    <w:lsdException w:locked="1" w:name="heading 3" w:qFormat="1" w:uiPriority="0"/>
    <w:lsdException w:locked="1" w:name="heading 4" w:qFormat="1" w:uiPriority="0"/>
    <w:lsdException w:locked="1" w:name="heading 5" w:qFormat="1" w:uiPriority="0"/>
    <w:lsdException w:locked="1" w:name="heading 6" w:qFormat="1" w:uiPriority="0"/>
    <w:lsdException w:locked="1" w:name="heading 7" w:qFormat="1" w:uiPriority="0"/>
    <w:lsdException w:locked="1" w:name="heading 8" w:qFormat="1" w:uiPriority="0"/>
    <w:lsdException w:locked="1" w:name="heading 9" w:qFormat="1" w:uiPriority="0"/>
    <w:lsdException w:locked="1" w:name="toc 1" w:semiHidden="0" w:uiPriority="0" w:unhideWhenUsed="0"/>
    <w:lsdException w:locked="1" w:name="toc 2" w:semiHidden="0" w:uiPriority="0" w:unhideWhenUsed="0"/>
    <w:lsdException w:locked="1" w:name="toc 3" w:semiHidden="0" w:uiPriority="0" w:unhideWhenUsed="0"/>
    <w:lsdException w:locked="1" w:name="toc 4" w:semiHidden="0" w:uiPriority="0" w:unhideWhenUsed="0"/>
    <w:lsdException w:locked="1" w:name="toc 5" w:semiHidden="0" w:uiPriority="0" w:unhideWhenUsed="0"/>
    <w:lsdException w:locked="1" w:name="toc 6" w:semiHidden="0" w:uiPriority="0" w:unhideWhenUsed="0"/>
    <w:lsdException w:locked="1" w:name="toc 7" w:semiHidden="0" w:uiPriority="0" w:unhideWhenUsed="0"/>
    <w:lsdException w:locked="1" w:name="toc 8" w:semiHidden="0" w:uiPriority="0" w:unhideWhenUsed="0"/>
    <w:lsdException w:locked="1" w:name="toc 9" w:semiHidden="0" w:uiPriority="0" w:unhideWhenUsed="0"/>
    <w:lsdException w:locked="1" w:name="caption" w:qFormat="1" w:semiHidden="0" w:unhideWhenUsed="0"/>
    <w:lsdException w:locked="1" w:name="Title" w:qFormat="1" w:semiHidden="0" w:uiPriority="0" w:unhideWhenUsed="0"/>
    <w:lsdException w:locked="1" w:name="Default Paragraph Font" w:semiHidden="0" w:uiPriority="0" w:unhideWhenUsed="0"/>
    <w:lsdException w:locked="1" w:name="Subtitle" w:qFormat="1" w:semiHidden="0" w:uiPriority="0" w:unhideWhenUsed="0"/>
    <w:lsdException w:locked="1" w:name="Strong" w:qFormat="1" w:semiHidden="0" w:uiPriority="0" w:unhideWhenUsed="0"/>
    <w:lsdException w:locked="1" w:name="Emphasis" w:qFormat="1" w:semiHidden="0" w:uiPriority="0" w:unhideWhenUsed="0"/>
    <w:lsdException w:locked="1" w:name="Table Grid" w:semiHidden="0" w:uiPriority="0"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pPr>
      <w:spacing w:after="200" w:line="276" w:lineRule="auto"/>
    </w:pPr>
  </w:style>
  <w:style w:styleId="Heading1" w:type="paragraph">
    <w:name w:val="heading 1"/>
    <w:basedOn w:val="Normal"/>
    <w:next w:val="Normal"/>
    <w:link w:val="Heading1Char"/>
    <w:uiPriority w:val="99"/>
    <w:qFormat/>
    <w:pPr>
      <w:keepNext/>
      <w:keepLines/>
      <w:spacing w:after="0" w:before="480"/>
      <w:outlineLvl w:val="0"/>
    </w:pPr>
    <w:rPr>
      <w:rFonts w:ascii="Cambria" w:eastAsia="Times New Roman" w:hAnsi="Cambria"/>
      <w:b/>
      <w:bCs/>
      <w:color w:val="365F91"/>
      <w:sz w:val="28"/>
      <w:szCs w:val="28"/>
    </w:rPr>
  </w:style>
  <w:style w:styleId="Heading2" w:type="paragraph">
    <w:name w:val="heading 2"/>
    <w:basedOn w:val="Normal"/>
    <w:next w:val="Normal"/>
    <w:link w:val="Heading2Char"/>
    <w:uiPriority w:val="99"/>
    <w:qFormat/>
    <w:locked/>
    <w:pPr>
      <w:keepNext/>
      <w:spacing w:after="60" w:before="240"/>
      <w:outlineLvl w:val="1"/>
    </w:pPr>
    <w:rPr>
      <w:rFonts w:ascii="Arial" w:cs="Arial" w:hAnsi="Arial"/>
      <w:b/>
      <w:bCs/>
      <w:i/>
      <w:iCs/>
      <w:sz w:val="28"/>
      <w:szCs w:val="2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9"/>
    <w:locked/>
    <w:rPr>
      <w:rFonts w:ascii="Cambria" w:cs="Times New Roman" w:hAnsi="Cambria"/>
      <w:b/>
      <w:bCs/>
      <w:color w:val="365F91"/>
      <w:sz w:val="28"/>
      <w:szCs w:val="28"/>
    </w:rPr>
  </w:style>
  <w:style w:customStyle="1" w:styleId="Heading2Char" w:type="character">
    <w:name w:val="Heading 2 Char"/>
    <w:basedOn w:val="DefaultParagraphFont"/>
    <w:link w:val="Heading2"/>
    <w:uiPriority w:val="99"/>
    <w:semiHidden/>
    <w:locked/>
    <w:rPr>
      <w:rFonts w:ascii="Cambria" w:cs="Times New Roman" w:hAnsi="Cambria"/>
      <w:b/>
      <w:bCs/>
      <w:i/>
      <w:iCs/>
      <w:sz w:val="28"/>
      <w:szCs w:val="28"/>
    </w:rPr>
  </w:style>
  <w:style w:styleId="TOC1" w:type="paragraph">
    <w:name w:val="toc 1"/>
    <w:basedOn w:val="Normal"/>
    <w:next w:val="Normal"/>
    <w:autoRedefine/>
    <w:uiPriority w:val="99"/>
    <w:pPr>
      <w:spacing w:after="100"/>
    </w:pPr>
  </w:style>
  <w:style w:styleId="Hyperlink" w:type="character">
    <w:name w:val="Hyperlink"/>
    <w:basedOn w:val="DefaultParagraphFont"/>
    <w:uiPriority w:val="99"/>
    <w:rPr>
      <w:rFonts w:cs="Times New Roman"/>
      <w:color w:val="0000FF"/>
      <w:u w:val="single"/>
    </w:rPr>
  </w:style>
  <w:style w:styleId="TableGrid" w:type="table">
    <w:name w:val="Table Grid"/>
    <w:basedOn w:val="TableNormal"/>
    <w:uiPriority w:val="99"/>
    <w:locked/>
    <w:pPr>
      <w:spacing w:after="200" w:line="276" w:lineRule="auto"/>
    </w:pPr>
    <w:rPr>
      <w:rFonts w:eastAsia="Times New Roman"/>
      <w:sz w:val="20"/>
      <w:szCs w:val="20"/>
    </w:rPr>
    <w:tblPr>
      <w:tblInd w:type="dxa" w:w="1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Caption" w:type="paragraph">
    <w:name w:val="caption"/>
    <w:basedOn w:val="Normal"/>
    <w:next w:val="Normal"/>
    <w:uiPriority w:val="99"/>
    <w:qFormat/>
    <w:locked/>
    <w:pPr>
      <w:spacing w:after="0" w:line="240" w:lineRule="auto"/>
    </w:pPr>
    <w:rPr>
      <w:rFonts w:ascii="Times New Roman" w:hAnsi="Times New Roman"/>
      <w:b/>
      <w:bCs/>
      <w:sz w:val="20"/>
      <w:szCs w:val="20"/>
    </w:rPr>
  </w:style>
  <w:style w:styleId="Header" w:type="paragraph">
    <w:name w:val="header"/>
    <w:basedOn w:val="Normal"/>
    <w:link w:val="HeaderChar"/>
    <w:uiPriority w:val="99"/>
    <w:pPr>
      <w:tabs>
        <w:tab w:pos="4320" w:val="center"/>
        <w:tab w:pos="8640" w:val="right"/>
      </w:tabs>
    </w:pPr>
  </w:style>
  <w:style w:customStyle="1" w:styleId="HeaderChar" w:type="character">
    <w:name w:val="Header Char"/>
    <w:basedOn w:val="DefaultParagraphFont"/>
    <w:link w:val="Header"/>
    <w:uiPriority w:val="99"/>
    <w:semiHidden/>
    <w:locked/>
    <w:rPr>
      <w:rFonts w:cs="Times New Roman"/>
    </w:rPr>
  </w:style>
  <w:style w:styleId="Footer" w:type="paragraph">
    <w:name w:val="footer"/>
    <w:basedOn w:val="Normal"/>
    <w:link w:val="FooterChar"/>
    <w:uiPriority w:val="99"/>
    <w:pPr>
      <w:tabs>
        <w:tab w:pos="4320" w:val="center"/>
        <w:tab w:pos="8640" w:val="right"/>
      </w:tabs>
    </w:pPr>
  </w:style>
  <w:style w:customStyle="1" w:styleId="FooterChar" w:type="character">
    <w:name w:val="Footer Char"/>
    <w:basedOn w:val="DefaultParagraphFont"/>
    <w:link w:val="Footer"/>
    <w:uiPriority w:val="99"/>
    <w:semiHidden/>
    <w:locked/>
    <w:rPr>
      <w:rFonts w:cs="Times New Roman"/>
    </w:rPr>
  </w:style>
  <w:style w:styleId="PageNumber" w:type="character">
    <w:name w:val="page number"/>
    <w:basedOn w:val="DefaultParagraphFont"/>
    <w:uiPriority w:val="99"/>
    <w:rPr>
      <w:rFonts w:cs="Times New Roman"/>
    </w:rPr>
  </w:style>
  <w:style w:styleId="TOC2" w:type="paragraph">
    <w:name w:val="toc 2"/>
    <w:basedOn w:val="Normal"/>
    <w:next w:val="Normal"/>
    <w:autoRedefine/>
    <w:uiPriority w:val="99"/>
    <w:semiHidden/>
    <w:locked/>
    <w:pPr>
      <w:ind w:left="220"/>
    </w:pPr>
  </w:style>
  <w:style w:styleId="BalloonText" w:type="paragraph">
    <w:name w:val="Balloon Text"/>
    <w:basedOn w:val="Normal"/>
    <w:link w:val="BalloonTextChar"/>
    <w:uiPriority w:val="99"/>
    <w:semiHidden/>
    <w:rPr>
      <w:rFonts w:ascii="Tahoma" w:cs="Tahoma" w:hAnsi="Tahoma"/>
      <w:sz w:val="16"/>
      <w:szCs w:val="16"/>
    </w:rPr>
  </w:style>
  <w:style w:customStyle="1" w:styleId="BalloonTextChar" w:type="character">
    <w:name w:val="Balloon Text Char"/>
    <w:basedOn w:val="DefaultParagraphFont"/>
    <w:link w:val="BalloonText"/>
    <w:uiPriority w:val="99"/>
    <w:semiHidden/>
    <w:locked/>
    <w:rPr>
      <w:rFonts w:ascii="Times New Roman" w:cs="Times New Roman" w:hAnsi="Times New Roman"/>
      <w:sz w:val="2"/>
    </w:rPr>
  </w:style>
  <w:style w:styleId="PlainText" w:type="paragraph">
    <w:name w:val="Plain Text"/>
    <w:basedOn w:val="Normal"/>
    <w:link w:val="PlainTextChar"/>
    <w:uiPriority w:val="99"/>
    <w:pPr>
      <w:spacing w:after="0" w:line="240" w:lineRule="auto"/>
    </w:pPr>
    <w:rPr>
      <w:rFonts w:ascii="Consolas" w:hAnsi="Consolas"/>
      <w:sz w:val="21"/>
      <w:szCs w:val="21"/>
    </w:rPr>
  </w:style>
  <w:style w:customStyle="1" w:styleId="PlainTextChar" w:type="character">
    <w:name w:val="Plain Text Char"/>
    <w:basedOn w:val="DefaultParagraphFont"/>
    <w:link w:val="PlainText"/>
    <w:uiPriority w:val="99"/>
    <w:locked/>
    <w:rPr>
      <w:rFonts w:ascii="Consolas" w:cs="Times New Roman" w:hAnsi="Consolas"/>
      <w:sz w:val="21"/>
      <w:szCs w:val="21"/>
      <w:lang w:bidi="ar-SA" w:eastAsia="en-US" w:val="en-US"/>
    </w:rPr>
  </w:style>
  <w:style w:styleId="CommentReference" w:type="character">
    <w:name w:val="annotation reference"/>
    <w:basedOn w:val="DefaultParagraphFont"/>
    <w:uiPriority w:val="99"/>
    <w:semiHidden/>
    <w:rPr>
      <w:rFonts w:cs="Times New Roman"/>
      <w:sz w:val="16"/>
      <w:szCs w:val="16"/>
    </w:rPr>
  </w:style>
  <w:style w:styleId="CommentText" w:type="paragraph">
    <w:name w:val="annotation text"/>
    <w:basedOn w:val="Normal"/>
    <w:link w:val="CommentTextChar"/>
    <w:uiPriority w:val="99"/>
    <w:pPr>
      <w:spacing w:after="0" w:line="240" w:lineRule="auto"/>
      <w:ind w:right="432"/>
    </w:pPr>
    <w:rPr>
      <w:sz w:val="20"/>
      <w:szCs w:val="20"/>
    </w:rPr>
  </w:style>
  <w:style w:customStyle="1" w:styleId="CommentTextChar" w:type="character">
    <w:name w:val="Comment Text Char"/>
    <w:basedOn w:val="DefaultParagraphFont"/>
    <w:link w:val="CommentText"/>
    <w:uiPriority w:val="99"/>
    <w:locked/>
    <w:rPr>
      <w:rFonts w:ascii="Calibri" w:cs="Times New Roman" w:hAnsi="Calibri"/>
      <w:lang w:bidi="ar-SA" w:eastAsia="en-US" w:val="en-US"/>
    </w:rPr>
  </w:style>
  <w:style w:styleId="NoSpacing" w:type="paragraph">
    <w:name w:val="No Spacing"/>
    <w:link w:val="NoSpacingChar"/>
    <w:uiPriority w:val="99"/>
    <w:qFormat/>
    <w:pPr>
      <w:jc w:val="both"/>
    </w:pPr>
  </w:style>
  <w:style w:customStyle="1" w:styleId="NoSpacingChar" w:type="character">
    <w:name w:val="No Spacing Char"/>
    <w:basedOn w:val="DefaultParagraphFont"/>
    <w:link w:val="NoSpacing"/>
    <w:uiPriority w:val="99"/>
    <w:locked/>
    <w:rPr>
      <w:rFonts w:cs="Times New Roman"/>
      <w:sz w:val="22"/>
      <w:szCs w:val="22"/>
      <w:lang w:bidi="ar-SA" w:eastAsia="en-US" w:val="en-US"/>
    </w:rPr>
  </w:style>
  <w:style w:styleId="SubtleEmphasis" w:type="character">
    <w:name w:val="Subtle Emphasis"/>
    <w:basedOn w:val="DefaultParagraphFont"/>
    <w:uiPriority w:val="19"/>
    <w:qFormat/>
    <w:rPr>
      <w:i/>
      <w:iCs/>
      <w:color w:themeColor="text1" w:themeTint="7F" w:val="808080"/>
    </w:rPr>
  </w:style>
  <w:style w:styleId="CommentSubject" w:type="paragraph">
    <w:name w:val="annotation subject"/>
    <w:basedOn w:val="CommentText"/>
    <w:next w:val="CommentText"/>
    <w:link w:val="CommentSubjectChar"/>
    <w:uiPriority w:val="99"/>
    <w:semiHidden/>
    <w:unhideWhenUsed/>
    <w:pPr>
      <w:spacing w:after="200"/>
      <w:ind w:right="0"/>
    </w:pPr>
    <w:rPr>
      <w:b/>
      <w:bCs/>
    </w:rPr>
  </w:style>
  <w:style w:customStyle="1" w:styleId="CommentSubjectChar" w:type="character">
    <w:name w:val="Comment Subject Char"/>
    <w:basedOn w:val="CommentTextChar"/>
    <w:link w:val="CommentSubject"/>
    <w:uiPriority w:val="99"/>
    <w:semiHidden/>
    <w:rPr>
      <w:rFonts w:ascii="Calibri" w:cs="Times New Roman" w:hAnsi="Calibri"/>
      <w:b/>
      <w:bCs/>
      <w:sz w:val="20"/>
      <w:szCs w:val="20"/>
      <w:lang w:bidi="ar-SA" w:eastAsia="en-US" w:val="en-US"/>
    </w:rPr>
  </w:style>
</w:styles>
</file>

<file path=word/webSettings.xml><?xml version="1.0" encoding="utf-8"?>
<w:webSettings xmlns:r="http://schemas.openxmlformats.org/officeDocument/2006/relationships" xmlns:w="http://schemas.openxmlformats.org/wordprocessingml/2006/main">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 w:id="1313831213">
      <w:bodyDiv w:val="1"/>
      <w:marLeft w:val="0"/>
      <w:marRight w:val="0"/>
      <w:marTop w:val="0"/>
      <w:marBottom w:val="0"/>
      <w:divBdr>
        <w:top w:val="none" w:sz="0" w:space="0" w:color="auto"/>
        <w:left w:val="none" w:sz="0" w:space="0" w:color="auto"/>
        <w:bottom w:val="none" w:sz="0" w:space="0" w:color="auto"/>
        <w:right w:val="none" w:sz="0" w:space="0" w:color="auto"/>
      </w:divBdr>
    </w:div>
    <w:div w:id="159810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control" Target="activeX/activeX63.xml"/><Relationship Id="rId21" Type="http://schemas.openxmlformats.org/officeDocument/2006/relationships/image" Target="media/image8.wmf"/><Relationship Id="rId42" Type="http://schemas.openxmlformats.org/officeDocument/2006/relationships/control" Target="activeX/activeX17.xml"/><Relationship Id="rId47" Type="http://schemas.openxmlformats.org/officeDocument/2006/relationships/control" Target="activeX/activeX20.xml"/><Relationship Id="rId63" Type="http://schemas.openxmlformats.org/officeDocument/2006/relationships/control" Target="activeX/activeX29.xml"/><Relationship Id="rId68" Type="http://schemas.openxmlformats.org/officeDocument/2006/relationships/control" Target="activeX/activeX32.xml"/><Relationship Id="rId84" Type="http://schemas.openxmlformats.org/officeDocument/2006/relationships/control" Target="activeX/activeX43.xml"/><Relationship Id="rId89" Type="http://schemas.openxmlformats.org/officeDocument/2006/relationships/image" Target="media/image36.wmf"/><Relationship Id="rId112" Type="http://schemas.openxmlformats.org/officeDocument/2006/relationships/image" Target="media/image45.wmf"/><Relationship Id="rId133" Type="http://schemas.microsoft.com/office/2007/relationships/stylesWithEffects" Target="stylesWithEffects.xml"/><Relationship Id="rId16" Type="http://schemas.openxmlformats.org/officeDocument/2006/relationships/control" Target="activeX/activeX4.xml"/><Relationship Id="rId107" Type="http://schemas.openxmlformats.org/officeDocument/2006/relationships/control" Target="activeX/activeX57.xml"/><Relationship Id="rId11" Type="http://schemas.openxmlformats.org/officeDocument/2006/relationships/image" Target="media/image3.wmf"/><Relationship Id="rId32" Type="http://schemas.openxmlformats.org/officeDocument/2006/relationships/control" Target="activeX/activeX12.xml"/><Relationship Id="rId37" Type="http://schemas.openxmlformats.org/officeDocument/2006/relationships/image" Target="media/image16.wmf"/><Relationship Id="rId53" Type="http://schemas.openxmlformats.org/officeDocument/2006/relationships/control" Target="activeX/activeX23.xml"/><Relationship Id="rId58" Type="http://schemas.openxmlformats.org/officeDocument/2006/relationships/control" Target="activeX/activeX26.xml"/><Relationship Id="rId74" Type="http://schemas.openxmlformats.org/officeDocument/2006/relationships/control" Target="activeX/activeX36.xml"/><Relationship Id="rId79" Type="http://schemas.openxmlformats.org/officeDocument/2006/relationships/control" Target="activeX/activeX40.xml"/><Relationship Id="rId102" Type="http://schemas.openxmlformats.org/officeDocument/2006/relationships/control" Target="activeX/activeX53.xml"/><Relationship Id="rId123" Type="http://schemas.openxmlformats.org/officeDocument/2006/relationships/control" Target="activeX/activeX66.xml"/><Relationship Id="rId128"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control" Target="activeX/activeX47.xml"/><Relationship Id="rId95" Type="http://schemas.openxmlformats.org/officeDocument/2006/relationships/image" Target="media/image39.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1.wmf"/><Relationship Id="rId30" Type="http://schemas.openxmlformats.org/officeDocument/2006/relationships/control" Target="activeX/activeX11.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control" Target="activeX/activeX30.xml"/><Relationship Id="rId69" Type="http://schemas.openxmlformats.org/officeDocument/2006/relationships/image" Target="media/image30.wmf"/><Relationship Id="rId77" Type="http://schemas.openxmlformats.org/officeDocument/2006/relationships/control" Target="activeX/activeX39.xml"/><Relationship Id="rId100" Type="http://schemas.openxmlformats.org/officeDocument/2006/relationships/control" Target="activeX/activeX52.xml"/><Relationship Id="rId105" Type="http://schemas.openxmlformats.org/officeDocument/2006/relationships/control" Target="activeX/activeX55.xml"/><Relationship Id="rId113" Type="http://schemas.openxmlformats.org/officeDocument/2006/relationships/control" Target="activeX/activeX61.xml"/><Relationship Id="rId118" Type="http://schemas.openxmlformats.org/officeDocument/2006/relationships/image" Target="media/image48.wmf"/><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ontrol" Target="activeX/activeX22.xml"/><Relationship Id="rId72" Type="http://schemas.openxmlformats.org/officeDocument/2006/relationships/control" Target="activeX/activeX34.xml"/><Relationship Id="rId80" Type="http://schemas.openxmlformats.org/officeDocument/2006/relationships/image" Target="media/image33.wmf"/><Relationship Id="rId85" Type="http://schemas.openxmlformats.org/officeDocument/2006/relationships/control" Target="activeX/activeX44.xml"/><Relationship Id="rId93" Type="http://schemas.openxmlformats.org/officeDocument/2006/relationships/image" Target="media/image38.wmf"/><Relationship Id="rId98" Type="http://schemas.openxmlformats.org/officeDocument/2006/relationships/control" Target="activeX/activeX51.xml"/><Relationship Id="rId121" Type="http://schemas.openxmlformats.org/officeDocument/2006/relationships/control" Target="activeX/activeX65.xml"/><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5.xml"/><Relationship Id="rId46" Type="http://schemas.openxmlformats.org/officeDocument/2006/relationships/control" Target="activeX/activeX19.xml"/><Relationship Id="rId59" Type="http://schemas.openxmlformats.org/officeDocument/2006/relationships/image" Target="media/image26.wmf"/><Relationship Id="rId67" Type="http://schemas.openxmlformats.org/officeDocument/2006/relationships/image" Target="media/image29.wmf"/><Relationship Id="rId103" Type="http://schemas.openxmlformats.org/officeDocument/2006/relationships/image" Target="media/image43.wmf"/><Relationship Id="rId108" Type="http://schemas.openxmlformats.org/officeDocument/2006/relationships/image" Target="media/image44.wmf"/><Relationship Id="rId116" Type="http://schemas.openxmlformats.org/officeDocument/2006/relationships/image" Target="media/image47.wmf"/><Relationship Id="rId124" Type="http://schemas.openxmlformats.org/officeDocument/2006/relationships/image" Target="media/image51.jpeg"/><Relationship Id="rId129" Type="http://schemas.openxmlformats.org/officeDocument/2006/relationships/image" Target="media/image55.jpeg"/><Relationship Id="rId20" Type="http://schemas.openxmlformats.org/officeDocument/2006/relationships/control" Target="activeX/activeX6.xml"/><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control" Target="activeX/activeX28.xml"/><Relationship Id="rId70" Type="http://schemas.openxmlformats.org/officeDocument/2006/relationships/control" Target="activeX/activeX33.xml"/><Relationship Id="rId75" Type="http://schemas.openxmlformats.org/officeDocument/2006/relationships/control" Target="activeX/activeX37.xml"/><Relationship Id="rId83" Type="http://schemas.openxmlformats.org/officeDocument/2006/relationships/image" Target="media/image34.wmf"/><Relationship Id="rId88" Type="http://schemas.openxmlformats.org/officeDocument/2006/relationships/control" Target="activeX/activeX46.xml"/><Relationship Id="rId91" Type="http://schemas.openxmlformats.org/officeDocument/2006/relationships/image" Target="media/image37.wmf"/><Relationship Id="rId96" Type="http://schemas.openxmlformats.org/officeDocument/2006/relationships/control" Target="activeX/activeX50.xml"/><Relationship Id="rId111" Type="http://schemas.openxmlformats.org/officeDocument/2006/relationships/control" Target="activeX/activeX60.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10.xml"/><Relationship Id="rId36" Type="http://schemas.openxmlformats.org/officeDocument/2006/relationships/control" Target="activeX/activeX14.xml"/><Relationship Id="rId49" Type="http://schemas.openxmlformats.org/officeDocument/2006/relationships/control" Target="activeX/activeX21.xml"/><Relationship Id="rId57" Type="http://schemas.openxmlformats.org/officeDocument/2006/relationships/control" Target="activeX/activeX25.xml"/><Relationship Id="rId106" Type="http://schemas.openxmlformats.org/officeDocument/2006/relationships/control" Target="activeX/activeX56.xml"/><Relationship Id="rId114" Type="http://schemas.openxmlformats.org/officeDocument/2006/relationships/image" Target="media/image46.wmf"/><Relationship Id="rId119" Type="http://schemas.openxmlformats.org/officeDocument/2006/relationships/control" Target="activeX/activeX64.xml"/><Relationship Id="rId127" Type="http://schemas.openxmlformats.org/officeDocument/2006/relationships/image" Target="media/image53.jpeg"/><Relationship Id="rId10" Type="http://schemas.openxmlformats.org/officeDocument/2006/relationships/control" Target="activeX/activeX1.xml"/><Relationship Id="rId31" Type="http://schemas.openxmlformats.org/officeDocument/2006/relationships/image" Target="media/image13.wmf"/><Relationship Id="rId44" Type="http://schemas.openxmlformats.org/officeDocument/2006/relationships/control" Target="activeX/activeX18.xml"/><Relationship Id="rId52" Type="http://schemas.openxmlformats.org/officeDocument/2006/relationships/image" Target="media/image23.wmf"/><Relationship Id="rId60" Type="http://schemas.openxmlformats.org/officeDocument/2006/relationships/control" Target="activeX/activeX27.xml"/><Relationship Id="rId65" Type="http://schemas.openxmlformats.org/officeDocument/2006/relationships/image" Target="media/image28.wmf"/><Relationship Id="rId73" Type="http://schemas.openxmlformats.org/officeDocument/2006/relationships/control" Target="activeX/activeX35.xml"/><Relationship Id="rId78" Type="http://schemas.openxmlformats.org/officeDocument/2006/relationships/image" Target="media/image32.wmf"/><Relationship Id="rId81" Type="http://schemas.openxmlformats.org/officeDocument/2006/relationships/control" Target="activeX/activeX41.xml"/><Relationship Id="rId86" Type="http://schemas.openxmlformats.org/officeDocument/2006/relationships/control" Target="activeX/activeX45.xml"/><Relationship Id="rId94" Type="http://schemas.openxmlformats.org/officeDocument/2006/relationships/control" Target="activeX/activeX49.xml"/><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0.wmf"/><Relationship Id="rId130" Type="http://schemas.openxmlformats.org/officeDocument/2006/relationships/image" Target="https://www5.hud.gov/images/HUD_LOGO.GIF"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image" Target="media/image17.wmf"/><Relationship Id="rId109" Type="http://schemas.openxmlformats.org/officeDocument/2006/relationships/control" Target="activeX/activeX58.xml"/><Relationship Id="rId34" Type="http://schemas.openxmlformats.org/officeDocument/2006/relationships/control" Target="activeX/activeX13.xml"/><Relationship Id="rId50" Type="http://schemas.openxmlformats.org/officeDocument/2006/relationships/image" Target="media/image22.wmf"/><Relationship Id="rId55" Type="http://schemas.openxmlformats.org/officeDocument/2006/relationships/control" Target="activeX/activeX24.xml"/><Relationship Id="rId76" Type="http://schemas.openxmlformats.org/officeDocument/2006/relationships/control" Target="activeX/activeX38.xml"/><Relationship Id="rId97" Type="http://schemas.openxmlformats.org/officeDocument/2006/relationships/image" Target="media/image40.wmf"/><Relationship Id="rId104" Type="http://schemas.openxmlformats.org/officeDocument/2006/relationships/control" Target="activeX/activeX54.xml"/><Relationship Id="rId120" Type="http://schemas.openxmlformats.org/officeDocument/2006/relationships/image" Target="media/image49.wmf"/><Relationship Id="rId12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control" Target="activeX/activeX48.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8.xml"/><Relationship Id="rId40" Type="http://schemas.openxmlformats.org/officeDocument/2006/relationships/control" Target="activeX/activeX16.xml"/><Relationship Id="rId45" Type="http://schemas.openxmlformats.org/officeDocument/2006/relationships/image" Target="media/image20.wmf"/><Relationship Id="rId66" Type="http://schemas.openxmlformats.org/officeDocument/2006/relationships/control" Target="activeX/activeX31.xml"/><Relationship Id="rId87" Type="http://schemas.openxmlformats.org/officeDocument/2006/relationships/image" Target="media/image35.wmf"/><Relationship Id="rId110" Type="http://schemas.openxmlformats.org/officeDocument/2006/relationships/control" Target="activeX/activeX59.xml"/><Relationship Id="rId115" Type="http://schemas.openxmlformats.org/officeDocument/2006/relationships/control" Target="activeX/activeX62.xml"/><Relationship Id="rId131"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control" Target="activeX/activeX42.xml"/><Relationship Id="rId19" Type="http://schemas.openxmlformats.org/officeDocument/2006/relationships/image" Target="media/image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EBBD715-83E6-4410-9831-A6C001C9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7489</Words>
  <Characters>47624</Characters>
  <Application>Microsoft Office Word</Application>
  <DocSecurity>0</DocSecurity>
  <Lines>396</Lines>
  <Paragraphs>110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Cyndi Krauss</cp:lastModifiedBy>
  <cp:revision>4</cp:revision>
  <cp:lastPrinted>2020-11-09T15:09:00Z</cp:lastPrinted>
  <dcterms:created xsi:type="dcterms:W3CDTF">2020-11-09T15:06:00Z</dcterms:created>
  <dcterms:modified xsi:type="dcterms:W3CDTF">2020-11-09T15:17:00Z</dcterms:modified>
</cp:coreProperties>
</file>